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0446" w14:textId="7183B4A5" w:rsidR="00FE0969" w:rsidRDefault="004074AE">
      <w:pPr>
        <w:spacing w:after="0"/>
        <w:jc w:val="center"/>
        <w:rPr>
          <w:rFonts w:ascii="Arial" w:eastAsia="Arial" w:hAnsi="Arial" w:cs="Arial"/>
        </w:rPr>
      </w:pPr>
      <w:r>
        <w:rPr>
          <w:rFonts w:ascii="Arial" w:eastAsia="Arial" w:hAnsi="Arial" w:cs="Arial"/>
        </w:rPr>
        <w:t xml:space="preserve">HRP-052 | </w:t>
      </w:r>
      <w:sdt>
        <w:sdtPr>
          <w:tag w:val="goog_rdk_1"/>
          <w:id w:val="1072009464"/>
        </w:sdtPr>
        <w:sdtContent>
          <w:sdt>
            <w:sdtPr>
              <w:tag w:val="goog_rdk_2"/>
              <w:id w:val="-874394604"/>
            </w:sdtPr>
            <w:sdtContent>
              <w:r w:rsidR="004D3B89">
                <w:rPr>
                  <w:rFonts w:ascii="Arial" w:eastAsia="Arial" w:hAnsi="Arial" w:cs="Arial"/>
                </w:rPr>
                <w:t>0</w:t>
              </w:r>
            </w:sdtContent>
          </w:sdt>
          <w:r>
            <w:rPr>
              <w:rFonts w:ascii="Arial" w:eastAsia="Arial" w:hAnsi="Arial" w:cs="Arial"/>
            </w:rPr>
            <w:t>2/</w:t>
          </w:r>
        </w:sdtContent>
      </w:sdt>
      <w:sdt>
        <w:sdtPr>
          <w:tag w:val="goog_rdk_2"/>
          <w:id w:val="-761909675"/>
        </w:sdtPr>
        <w:sdtContent>
          <w:r>
            <w:rPr>
              <w:rFonts w:ascii="Arial" w:eastAsia="Arial" w:hAnsi="Arial" w:cs="Arial"/>
            </w:rPr>
            <w:t>0</w:t>
          </w:r>
        </w:sdtContent>
      </w:sdt>
      <w:sdt>
        <w:sdtPr>
          <w:tag w:val="goog_rdk_3"/>
          <w:id w:val="-1308618622"/>
        </w:sdtPr>
        <w:sdtContent>
          <w:r>
            <w:rPr>
              <w:rFonts w:ascii="Arial" w:eastAsia="Arial" w:hAnsi="Arial" w:cs="Arial"/>
            </w:rPr>
            <w:t>1</w:t>
          </w:r>
        </w:sdtContent>
      </w:sdt>
      <w:r>
        <w:rPr>
          <w:rFonts w:ascii="Arial" w:eastAsia="Arial" w:hAnsi="Arial" w:cs="Arial"/>
        </w:rPr>
        <w:t>/202</w:t>
      </w:r>
      <w:r w:rsidR="008D0204">
        <w:rPr>
          <w:rFonts w:ascii="Arial" w:eastAsia="Arial" w:hAnsi="Arial" w:cs="Arial"/>
        </w:rPr>
        <w:t>4</w:t>
      </w:r>
      <w:r>
        <w:rPr>
          <w:rFonts w:ascii="Arial" w:eastAsia="Arial" w:hAnsi="Arial" w:cs="Arial"/>
        </w:rPr>
        <w:t xml:space="preserve"> | Author: T. Bechert | Approver: S. Brooks</w:t>
      </w:r>
    </w:p>
    <w:p w14:paraId="7316B3D0" w14:textId="77777777" w:rsidR="00FE0969" w:rsidRDefault="00FE0969">
      <w:pPr>
        <w:spacing w:after="0"/>
      </w:pPr>
    </w:p>
    <w:p w14:paraId="48FD3038" w14:textId="77777777" w:rsidR="00FE0969" w:rsidRDefault="004074AE">
      <w:pPr>
        <w:pBdr>
          <w:top w:val="nil"/>
          <w:left w:val="nil"/>
          <w:bottom w:val="nil"/>
          <w:right w:val="nil"/>
          <w:between w:val="nil"/>
        </w:pBdr>
        <w:spacing w:line="240" w:lineRule="auto"/>
        <w:jc w:val="center"/>
        <w:rPr>
          <w:rFonts w:ascii="Arial" w:eastAsia="Arial" w:hAnsi="Arial" w:cs="Arial"/>
          <w:b/>
          <w:color w:val="000000"/>
          <w:sz w:val="32"/>
          <w:szCs w:val="32"/>
        </w:rPr>
      </w:pPr>
      <w:r>
        <w:rPr>
          <w:rFonts w:ascii="Arial" w:eastAsia="Arial" w:hAnsi="Arial" w:cs="Arial"/>
          <w:b/>
          <w:color w:val="000000"/>
          <w:sz w:val="32"/>
          <w:szCs w:val="32"/>
        </w:rPr>
        <w:t>SOP: Post-Review</w:t>
      </w:r>
    </w:p>
    <w:p w14:paraId="342F9F59" w14:textId="77777777" w:rsidR="00FE0969" w:rsidRDefault="00FE0969">
      <w:pPr>
        <w:pBdr>
          <w:top w:val="nil"/>
          <w:left w:val="nil"/>
          <w:bottom w:val="nil"/>
          <w:right w:val="nil"/>
          <w:between w:val="nil"/>
        </w:pBdr>
        <w:spacing w:line="240" w:lineRule="auto"/>
        <w:jc w:val="center"/>
        <w:rPr>
          <w:rFonts w:ascii="Arial" w:eastAsia="Arial" w:hAnsi="Arial" w:cs="Arial"/>
          <w:b/>
          <w:color w:val="000000"/>
          <w:sz w:val="32"/>
          <w:szCs w:val="32"/>
        </w:rPr>
      </w:pPr>
      <w:bookmarkStart w:id="0" w:name="_heading=h.gjdgxs" w:colFirst="0" w:colLast="0"/>
      <w:bookmarkEnd w:id="0"/>
    </w:p>
    <w:p w14:paraId="2200EC5B" w14:textId="77777777" w:rsidR="00FE0969" w:rsidRDefault="004074AE">
      <w:pPr>
        <w:numPr>
          <w:ilvl w:val="0"/>
          <w:numId w:val="2"/>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PURPOSE</w:t>
      </w:r>
    </w:p>
    <w:p w14:paraId="18781C6D" w14:textId="77777777" w:rsidR="00FE0969" w:rsidRDefault="004074AE">
      <w:pPr>
        <w:numPr>
          <w:ilvl w:val="1"/>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This procedure establishes the process for communications after a protocol is reviewed.</w:t>
      </w:r>
    </w:p>
    <w:p w14:paraId="52E7525F" w14:textId="77777777" w:rsidR="00FE0969" w:rsidRDefault="004074AE">
      <w:pPr>
        <w:numPr>
          <w:ilvl w:val="1"/>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The process begins when:</w:t>
      </w:r>
    </w:p>
    <w:p w14:paraId="0F4FD903" w14:textId="77777777" w:rsidR="00FE0969" w:rsidRDefault="004074AE">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A </w:t>
      </w:r>
      <w:r>
        <w:rPr>
          <w:rFonts w:ascii="Arial" w:eastAsia="Arial" w:hAnsi="Arial" w:cs="Arial"/>
          <w:color w:val="000000"/>
          <w:u w:val="single"/>
        </w:rPr>
        <w:t>Designated Reviewer</w:t>
      </w:r>
      <w:r>
        <w:rPr>
          <w:rFonts w:ascii="Arial" w:eastAsia="Arial" w:hAnsi="Arial" w:cs="Arial"/>
          <w:color w:val="000000"/>
        </w:rPr>
        <w:t xml:space="preserve"> has completed </w:t>
      </w:r>
      <w:r>
        <w:rPr>
          <w:rFonts w:ascii="Arial" w:eastAsia="Arial" w:hAnsi="Arial" w:cs="Arial"/>
          <w:color w:val="000000"/>
          <w:u w:val="single"/>
        </w:rPr>
        <w:t>a Non-Committee Review</w:t>
      </w:r>
      <w:r>
        <w:rPr>
          <w:rFonts w:ascii="Arial" w:eastAsia="Arial" w:hAnsi="Arial" w:cs="Arial"/>
          <w:color w:val="000000"/>
        </w:rPr>
        <w:t xml:space="preserve"> and provided completed materials to the IRB staff; OR</w:t>
      </w:r>
    </w:p>
    <w:p w14:paraId="0544FB0C" w14:textId="77777777" w:rsidR="00FE0969" w:rsidRDefault="004074AE">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An IRB meeting </w:t>
      </w:r>
      <w:proofErr w:type="spellStart"/>
      <w:r>
        <w:rPr>
          <w:rFonts w:ascii="Arial" w:eastAsia="Arial" w:hAnsi="Arial" w:cs="Arial"/>
          <w:color w:val="000000"/>
        </w:rPr>
        <w:t>has</w:t>
      </w:r>
      <w:proofErr w:type="spellEnd"/>
      <w:r>
        <w:rPr>
          <w:rFonts w:ascii="Arial" w:eastAsia="Arial" w:hAnsi="Arial" w:cs="Arial"/>
          <w:color w:val="000000"/>
        </w:rPr>
        <w:t xml:space="preserve"> adjourned, and the IRB chair or IRB manager has approved the minutes; OR</w:t>
      </w:r>
    </w:p>
    <w:p w14:paraId="425F9C41" w14:textId="77777777" w:rsidR="00FE0969" w:rsidRDefault="004074AE">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An IRB staff member has verified that modifications required to secure approval have been made.</w:t>
      </w:r>
    </w:p>
    <w:p w14:paraId="68FA397C" w14:textId="77777777" w:rsidR="00FE0969" w:rsidRDefault="004074AE">
      <w:pPr>
        <w:numPr>
          <w:ilvl w:val="1"/>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The process ends when all correspondence related to IRB determinations and actions have been sent and additional tasks have been completed.</w:t>
      </w:r>
    </w:p>
    <w:p w14:paraId="627C3C03" w14:textId="77777777" w:rsidR="00FE0969" w:rsidRDefault="004074AE">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REVISIONS FROM PREVIOUS VERSION</w:t>
      </w:r>
    </w:p>
    <w:p w14:paraId="5317237E" w14:textId="77777777" w:rsidR="00FE0969" w:rsidRDefault="004074AE">
      <w:pPr>
        <w:numPr>
          <w:ilvl w:val="1"/>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Clarification to procedure 5.3.1.2 to set an approval interval for exempt determinations and expedited studies reviewed under the 2018 Common Rule regulatory authority.</w:t>
      </w:r>
    </w:p>
    <w:p w14:paraId="39B981E6" w14:textId="77777777" w:rsidR="00FE0969" w:rsidRDefault="004074AE">
      <w:pPr>
        <w:numPr>
          <w:ilvl w:val="1"/>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rPr>
        <w:t>Clarified process steps in section 5.3 and 5.4 for notification when lifting a suspension and 5.5 for reportable findings.</w:t>
      </w:r>
    </w:p>
    <w:p w14:paraId="73B47984" w14:textId="7C2A169F" w:rsidR="008D0204" w:rsidRDefault="008D0204">
      <w:pPr>
        <w:numPr>
          <w:ilvl w:val="1"/>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rPr>
        <w:t xml:space="preserve">Removed reference to </w:t>
      </w:r>
      <w:r w:rsidR="00EA50C9">
        <w:rPr>
          <w:rFonts w:ascii="Arial" w:eastAsia="Arial" w:hAnsi="Arial" w:cs="Arial"/>
        </w:rPr>
        <w:t>HRP-526</w:t>
      </w:r>
      <w:r w:rsidR="002D1FFB">
        <w:rPr>
          <w:rFonts w:ascii="Arial" w:eastAsia="Arial" w:hAnsi="Arial" w:cs="Arial"/>
        </w:rPr>
        <w:t xml:space="preserve"> and added process steps to remove a Suspension of IRB Approval</w:t>
      </w:r>
      <w:r w:rsidR="006C57EA">
        <w:rPr>
          <w:rFonts w:ascii="Arial" w:eastAsia="Arial" w:hAnsi="Arial" w:cs="Arial"/>
        </w:rPr>
        <w:t>;</w:t>
      </w:r>
      <w:r w:rsidR="00D65DD5">
        <w:rPr>
          <w:rFonts w:ascii="Arial" w:eastAsia="Arial" w:hAnsi="Arial" w:cs="Arial"/>
        </w:rPr>
        <w:t xml:space="preserve"> removed reference to direct reporting to the </w:t>
      </w:r>
      <w:r w:rsidR="00674621" w:rsidRPr="00F413B4">
        <w:rPr>
          <w:rFonts w:ascii="Arial" w:hAnsi="Arial" w:cs="Arial"/>
        </w:rPr>
        <w:t>Chief Ethics and Compliance Officer via the University Integrity and Compliance Office reporting system</w:t>
      </w:r>
      <w:r w:rsidR="00674621">
        <w:rPr>
          <w:rFonts w:ascii="Arial" w:hAnsi="Arial" w:cs="Arial"/>
        </w:rPr>
        <w:t xml:space="preserve"> as this process is managed within OVPRI;</w:t>
      </w:r>
      <w:r w:rsidR="006C57EA">
        <w:rPr>
          <w:rFonts w:ascii="Arial" w:eastAsia="Arial" w:hAnsi="Arial" w:cs="Arial"/>
        </w:rPr>
        <w:t xml:space="preserve"> 2/1/24.</w:t>
      </w:r>
    </w:p>
    <w:p w14:paraId="1CB92854" w14:textId="77777777" w:rsidR="00FE0969" w:rsidRDefault="004074AE">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POLICY</w:t>
      </w:r>
    </w:p>
    <w:p w14:paraId="064CD4D8" w14:textId="77777777" w:rsidR="00FE0969" w:rsidRDefault="004074AE">
      <w:pPr>
        <w:numPr>
          <w:ilvl w:val="1"/>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The IRB reports its findings and actions to the investigator.</w:t>
      </w:r>
    </w:p>
    <w:p w14:paraId="4C8E0A08" w14:textId="77777777" w:rsidR="00FE0969" w:rsidRDefault="004074AE">
      <w:pPr>
        <w:numPr>
          <w:ilvl w:val="1"/>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The IRB reports its findings and actions to the institution.</w:t>
      </w:r>
    </w:p>
    <w:p w14:paraId="0023AB27" w14:textId="77777777" w:rsidR="00FE0969" w:rsidRDefault="004074AE">
      <w:pPr>
        <w:numPr>
          <w:ilvl w:val="1"/>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When the IRB disapproves research, it provides the investigator with a statement of the reasons for the decision and gives the investigator an opportunity to respond in person or in writing.</w:t>
      </w:r>
    </w:p>
    <w:p w14:paraId="7369AD43" w14:textId="77777777" w:rsidR="00FE0969" w:rsidRDefault="004074AE">
      <w:pPr>
        <w:numPr>
          <w:ilvl w:val="1"/>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 xml:space="preserve">Communication of review results to investigators are to be completed within 5 business days of the IRB meeting or receipt of the completed </w:t>
      </w:r>
      <w:r>
        <w:rPr>
          <w:rFonts w:ascii="Arial" w:eastAsia="Arial" w:hAnsi="Arial" w:cs="Arial"/>
          <w:color w:val="000000"/>
          <w:u w:val="single"/>
        </w:rPr>
        <w:t>Non-Committee Review</w:t>
      </w:r>
      <w:r>
        <w:rPr>
          <w:rFonts w:ascii="Arial" w:eastAsia="Arial" w:hAnsi="Arial" w:cs="Arial"/>
          <w:color w:val="000000"/>
        </w:rPr>
        <w:t xml:space="preserve"> materials. Outright IRB meeting approvals are sent within 2 business days.</w:t>
      </w:r>
    </w:p>
    <w:p w14:paraId="3828E917" w14:textId="77777777" w:rsidR="00FE0969" w:rsidRDefault="004074AE">
      <w:pPr>
        <w:numPr>
          <w:ilvl w:val="1"/>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 xml:space="preserve">Reporting of </w:t>
      </w:r>
      <w:r>
        <w:rPr>
          <w:rFonts w:ascii="Arial" w:eastAsia="Arial" w:hAnsi="Arial" w:cs="Arial"/>
          <w:color w:val="000000"/>
          <w:u w:val="single"/>
        </w:rPr>
        <w:t>Serious Non-Compliance</w:t>
      </w:r>
      <w:r>
        <w:rPr>
          <w:rFonts w:ascii="Arial" w:eastAsia="Arial" w:hAnsi="Arial" w:cs="Arial"/>
          <w:color w:val="000000"/>
        </w:rPr>
        <w:t xml:space="preserve">; </w:t>
      </w:r>
      <w:r>
        <w:rPr>
          <w:rFonts w:ascii="Arial" w:eastAsia="Arial" w:hAnsi="Arial" w:cs="Arial"/>
          <w:color w:val="000000"/>
          <w:u w:val="single"/>
        </w:rPr>
        <w:t>Continuing Non-Compliance</w:t>
      </w:r>
      <w:r>
        <w:rPr>
          <w:rFonts w:ascii="Arial" w:eastAsia="Arial" w:hAnsi="Arial" w:cs="Arial"/>
          <w:color w:val="000000"/>
        </w:rPr>
        <w:t xml:space="preserve">; </w:t>
      </w:r>
      <w:r>
        <w:rPr>
          <w:rFonts w:ascii="Arial" w:eastAsia="Arial" w:hAnsi="Arial" w:cs="Arial"/>
          <w:color w:val="000000"/>
          <w:u w:val="single"/>
        </w:rPr>
        <w:t>Suspension of IRB Approval</w:t>
      </w:r>
      <w:r>
        <w:rPr>
          <w:rFonts w:ascii="Arial" w:eastAsia="Arial" w:hAnsi="Arial" w:cs="Arial"/>
          <w:color w:val="000000"/>
        </w:rPr>
        <w:t xml:space="preserve">; </w:t>
      </w:r>
      <w:r>
        <w:rPr>
          <w:rFonts w:ascii="Arial" w:eastAsia="Arial" w:hAnsi="Arial" w:cs="Arial"/>
          <w:color w:val="000000"/>
          <w:u w:val="single"/>
        </w:rPr>
        <w:t>Termination of IRB Approval</w:t>
      </w:r>
      <w:r>
        <w:rPr>
          <w:rFonts w:ascii="Arial" w:eastAsia="Arial" w:hAnsi="Arial" w:cs="Arial"/>
          <w:color w:val="000000"/>
        </w:rPr>
        <w:t xml:space="preserve">; and </w:t>
      </w:r>
      <w:r>
        <w:rPr>
          <w:rFonts w:ascii="Arial" w:eastAsia="Arial" w:hAnsi="Arial" w:cs="Arial"/>
          <w:color w:val="000000"/>
          <w:u w:val="single"/>
        </w:rPr>
        <w:t>Unanticipated Problem Involving Risks to Subjects or Others</w:t>
      </w:r>
      <w:r>
        <w:rPr>
          <w:rFonts w:ascii="Arial" w:eastAsia="Arial" w:hAnsi="Arial" w:cs="Arial"/>
          <w:color w:val="000000"/>
        </w:rPr>
        <w:t xml:space="preserve"> to outside agencies is to take place within 30 business days from the determination of a reportable problem.</w:t>
      </w:r>
    </w:p>
    <w:p w14:paraId="1482E210" w14:textId="77777777" w:rsidR="00FE0969" w:rsidRPr="004A4F76" w:rsidRDefault="004074AE">
      <w:pPr>
        <w:numPr>
          <w:ilvl w:val="2"/>
          <w:numId w:val="1"/>
        </w:numPr>
        <w:pBdr>
          <w:top w:val="nil"/>
          <w:left w:val="nil"/>
          <w:bottom w:val="nil"/>
          <w:right w:val="nil"/>
          <w:between w:val="nil"/>
        </w:pBdr>
        <w:spacing w:before="20" w:after="20" w:line="276" w:lineRule="auto"/>
        <w:rPr>
          <w:rFonts w:ascii="Arial" w:eastAsia="Arial" w:hAnsi="Arial" w:cs="Arial"/>
          <w:color w:val="FF0000"/>
        </w:rPr>
      </w:pPr>
      <w:r w:rsidRPr="004A4F76">
        <w:rPr>
          <w:rFonts w:ascii="Arial" w:eastAsia="Arial" w:hAnsi="Arial" w:cs="Arial"/>
          <w:color w:val="FF0000"/>
        </w:rPr>
        <w:t>For Veterans Affairs (VA) research:</w:t>
      </w:r>
    </w:p>
    <w:p w14:paraId="7C2736F5" w14:textId="77777777" w:rsidR="00FE0969" w:rsidRPr="004A4F76" w:rsidRDefault="004074AE">
      <w:pPr>
        <w:numPr>
          <w:ilvl w:val="3"/>
          <w:numId w:val="1"/>
        </w:numPr>
        <w:pBdr>
          <w:top w:val="nil"/>
          <w:left w:val="nil"/>
          <w:bottom w:val="nil"/>
          <w:right w:val="nil"/>
          <w:between w:val="nil"/>
        </w:pBdr>
        <w:spacing w:before="20" w:after="20" w:line="276" w:lineRule="auto"/>
        <w:rPr>
          <w:color w:val="FF0000"/>
        </w:rPr>
      </w:pPr>
      <w:r w:rsidRPr="004A4F76">
        <w:rPr>
          <w:rFonts w:ascii="Arial" w:eastAsia="Arial" w:hAnsi="Arial" w:cs="Arial"/>
          <w:color w:val="FF0000"/>
        </w:rPr>
        <w:t xml:space="preserve">An </w:t>
      </w:r>
      <w:r w:rsidRPr="004A4F76">
        <w:rPr>
          <w:rFonts w:ascii="Arial" w:eastAsia="Arial" w:hAnsi="Arial" w:cs="Arial"/>
          <w:color w:val="FF0000"/>
          <w:u w:val="single"/>
        </w:rPr>
        <w:t>Unanticipated Problem Involving Risks to Subjects or Others</w:t>
      </w:r>
      <w:r w:rsidRPr="004A4F76">
        <w:rPr>
          <w:rFonts w:ascii="Arial" w:eastAsia="Arial" w:hAnsi="Arial" w:cs="Arial"/>
          <w:color w:val="FF0000"/>
        </w:rPr>
        <w:t xml:space="preserve"> that is a local research death, notification to the VA facility Director, the Research Compliance Officer (RCO) and the Associate Chief of Staff/R&amp;D must occur within 5 business days of the convened IRB’s determination(s).</w:t>
      </w:r>
    </w:p>
    <w:p w14:paraId="07744939" w14:textId="77777777" w:rsidR="00FE0969" w:rsidRPr="004A4F76" w:rsidRDefault="004074AE">
      <w:pPr>
        <w:numPr>
          <w:ilvl w:val="3"/>
          <w:numId w:val="1"/>
        </w:numPr>
        <w:pBdr>
          <w:top w:val="nil"/>
          <w:left w:val="nil"/>
          <w:bottom w:val="nil"/>
          <w:right w:val="nil"/>
          <w:between w:val="nil"/>
        </w:pBdr>
        <w:spacing w:before="20" w:after="20" w:line="276" w:lineRule="auto"/>
        <w:rPr>
          <w:color w:val="FF0000"/>
        </w:rPr>
      </w:pPr>
      <w:r w:rsidRPr="004A4F76">
        <w:rPr>
          <w:rFonts w:ascii="Arial" w:eastAsia="Arial" w:hAnsi="Arial" w:cs="Arial"/>
          <w:color w:val="FF0000"/>
        </w:rPr>
        <w:t xml:space="preserve">Information determined by the IRB to constitute an </w:t>
      </w:r>
      <w:r w:rsidRPr="004A4F76">
        <w:rPr>
          <w:rFonts w:ascii="Arial" w:eastAsia="Arial" w:hAnsi="Arial" w:cs="Arial"/>
          <w:color w:val="FF0000"/>
          <w:u w:val="single"/>
        </w:rPr>
        <w:t>Unanticipated Problem Involving Risks to Subjects or Others</w:t>
      </w:r>
      <w:r w:rsidRPr="004A4F76">
        <w:rPr>
          <w:rFonts w:ascii="Arial" w:eastAsia="Arial" w:hAnsi="Arial" w:cs="Arial"/>
          <w:color w:val="FF0000"/>
        </w:rPr>
        <w:t xml:space="preserve">, </w:t>
      </w:r>
      <w:r w:rsidRPr="004A4F76">
        <w:rPr>
          <w:rFonts w:ascii="Arial" w:eastAsia="Arial" w:hAnsi="Arial" w:cs="Arial"/>
          <w:color w:val="FF0000"/>
          <w:u w:val="single"/>
        </w:rPr>
        <w:t>Serious Non-Compliance</w:t>
      </w:r>
      <w:r w:rsidRPr="004A4F76">
        <w:rPr>
          <w:rFonts w:ascii="Arial" w:eastAsia="Arial" w:hAnsi="Arial" w:cs="Arial"/>
          <w:color w:val="FF0000"/>
        </w:rPr>
        <w:t xml:space="preserve"> or </w:t>
      </w:r>
      <w:r w:rsidRPr="004A4F76">
        <w:rPr>
          <w:rFonts w:ascii="Arial" w:eastAsia="Arial" w:hAnsi="Arial" w:cs="Arial"/>
          <w:color w:val="FF0000"/>
          <w:u w:val="single"/>
        </w:rPr>
        <w:t>Continuing Non-Compliance</w:t>
      </w:r>
      <w:r w:rsidRPr="004A4F76">
        <w:rPr>
          <w:rFonts w:ascii="Arial" w:eastAsia="Arial" w:hAnsi="Arial" w:cs="Arial"/>
          <w:color w:val="FF0000"/>
        </w:rPr>
        <w:t xml:space="preserve">, </w:t>
      </w:r>
      <w:r w:rsidRPr="004A4F76">
        <w:rPr>
          <w:rFonts w:ascii="Arial" w:eastAsia="Arial" w:hAnsi="Arial" w:cs="Arial"/>
          <w:color w:val="FF0000"/>
        </w:rPr>
        <w:lastRenderedPageBreak/>
        <w:t>notification to the VA facility Director, the Research Compliance Officer (RCO) and the Associate Chief of Staff/R&amp;D must occur within 5 business days of the convened IRB’s determination(s).</w:t>
      </w:r>
    </w:p>
    <w:p w14:paraId="1329B8B2" w14:textId="77777777" w:rsidR="00FE0969" w:rsidRPr="004A4F76" w:rsidRDefault="004074AE">
      <w:pPr>
        <w:numPr>
          <w:ilvl w:val="4"/>
          <w:numId w:val="1"/>
        </w:numPr>
        <w:pBdr>
          <w:top w:val="nil"/>
          <w:left w:val="nil"/>
          <w:bottom w:val="nil"/>
          <w:right w:val="nil"/>
          <w:between w:val="nil"/>
        </w:pBdr>
        <w:spacing w:before="20" w:after="20" w:line="276" w:lineRule="auto"/>
        <w:rPr>
          <w:rFonts w:ascii="Arial" w:eastAsia="Arial" w:hAnsi="Arial" w:cs="Arial"/>
          <w:color w:val="FF0000"/>
        </w:rPr>
      </w:pPr>
      <w:r w:rsidRPr="004A4F76">
        <w:rPr>
          <w:rFonts w:ascii="Arial" w:eastAsia="Arial" w:hAnsi="Arial" w:cs="Arial"/>
          <w:color w:val="FF0000"/>
        </w:rPr>
        <w:t xml:space="preserve">If the IRB is unable to make a determination on the apparent </w:t>
      </w:r>
      <w:r w:rsidRPr="004A4F76">
        <w:rPr>
          <w:rFonts w:ascii="Arial" w:eastAsia="Arial" w:hAnsi="Arial" w:cs="Arial"/>
          <w:color w:val="FF0000"/>
          <w:u w:val="single"/>
        </w:rPr>
        <w:t>Unanticipated Problem Involving Risks to Subjects or Others</w:t>
      </w:r>
      <w:r w:rsidRPr="004A4F76">
        <w:rPr>
          <w:rFonts w:ascii="Arial" w:eastAsia="Arial" w:hAnsi="Arial" w:cs="Arial"/>
          <w:color w:val="FF0000"/>
        </w:rPr>
        <w:t xml:space="preserve"> within 30 calendar days of the convened IRB’s initial review due to insufficient information or due to a lack of sufficient time to complete its review, the IRB must notify the VA medical facility Director, the Research Compliance Officer (RCO), and the ACOS/R&amp;D in writing no later than five (5) business days after the determination was due.</w:t>
      </w:r>
    </w:p>
    <w:p w14:paraId="429F45DA" w14:textId="43076B60" w:rsidR="00FE0969" w:rsidRDefault="004074AE">
      <w:pPr>
        <w:numPr>
          <w:ilvl w:val="1"/>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 xml:space="preserve">When a modification is reviewed to lift a suspension for a previous Suspension of IRB Approval, the state of the study will </w:t>
      </w:r>
      <w:r w:rsidR="00BF7819">
        <w:rPr>
          <w:rFonts w:ascii="Arial" w:eastAsia="Arial" w:hAnsi="Arial" w:cs="Arial"/>
          <w:color w:val="000000"/>
        </w:rPr>
        <w:t xml:space="preserve">be </w:t>
      </w:r>
      <w:r>
        <w:rPr>
          <w:rFonts w:ascii="Arial" w:eastAsia="Arial" w:hAnsi="Arial" w:cs="Arial"/>
          <w:color w:val="000000"/>
        </w:rPr>
        <w:t>change</w:t>
      </w:r>
      <w:r w:rsidR="00BF7819">
        <w:rPr>
          <w:rFonts w:ascii="Arial" w:eastAsia="Arial" w:hAnsi="Arial" w:cs="Arial"/>
          <w:color w:val="000000"/>
        </w:rPr>
        <w:t>d</w:t>
      </w:r>
      <w:r>
        <w:rPr>
          <w:rFonts w:ascii="Arial" w:eastAsia="Arial" w:hAnsi="Arial" w:cs="Arial"/>
          <w:color w:val="000000"/>
        </w:rPr>
        <w:t xml:space="preserve"> from “Suspended” to “Approved” when the modification is approved.</w:t>
      </w:r>
    </w:p>
    <w:p w14:paraId="73479715" w14:textId="77777777" w:rsidR="00FE0969" w:rsidRDefault="00FE0969">
      <w:pPr>
        <w:pBdr>
          <w:top w:val="nil"/>
          <w:left w:val="nil"/>
          <w:bottom w:val="nil"/>
          <w:right w:val="nil"/>
          <w:between w:val="nil"/>
        </w:pBdr>
        <w:spacing w:before="20" w:after="20" w:line="276" w:lineRule="auto"/>
        <w:ind w:left="576"/>
      </w:pPr>
    </w:p>
    <w:p w14:paraId="1C7BE722" w14:textId="77777777" w:rsidR="00FE0969" w:rsidRDefault="004074AE">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RESPONSIBILITIES</w:t>
      </w:r>
    </w:p>
    <w:p w14:paraId="585EC969" w14:textId="77777777" w:rsidR="00FE0969" w:rsidRDefault="004074AE">
      <w:pPr>
        <w:numPr>
          <w:ilvl w:val="1"/>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IRB staff members carry out these procedures.</w:t>
      </w:r>
    </w:p>
    <w:p w14:paraId="4761949D" w14:textId="77777777" w:rsidR="00FE0969" w:rsidRDefault="004074AE">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PROCEDURE</w:t>
      </w:r>
    </w:p>
    <w:p w14:paraId="058F3237" w14:textId="77777777" w:rsidR="00FE0969" w:rsidRDefault="004074AE">
      <w:pPr>
        <w:numPr>
          <w:ilvl w:val="1"/>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 xml:space="preserve">If the </w:t>
      </w:r>
      <w:r>
        <w:rPr>
          <w:rFonts w:ascii="Arial" w:eastAsia="Arial" w:hAnsi="Arial" w:cs="Arial"/>
          <w:color w:val="000000"/>
          <w:u w:val="single"/>
        </w:rPr>
        <w:t>Non-Committee Review</w:t>
      </w:r>
      <w:r>
        <w:rPr>
          <w:rFonts w:ascii="Arial" w:eastAsia="Arial" w:hAnsi="Arial" w:cs="Arial"/>
          <w:color w:val="000000"/>
        </w:rPr>
        <w:t xml:space="preserve"> indicated a </w:t>
      </w:r>
      <w:r>
        <w:rPr>
          <w:rFonts w:ascii="Arial" w:eastAsia="Arial" w:hAnsi="Arial" w:cs="Arial"/>
          <w:color w:val="000000"/>
          <w:u w:val="single"/>
        </w:rPr>
        <w:t>Conflicting Interest</w:t>
      </w:r>
      <w:r>
        <w:rPr>
          <w:rFonts w:ascii="Arial" w:eastAsia="Arial" w:hAnsi="Arial" w:cs="Arial"/>
          <w:color w:val="000000"/>
        </w:rPr>
        <w:t xml:space="preserve"> or a lack of expertise, follow HRP-031 - SOP - Non-Committee Review Preparation.</w:t>
      </w:r>
    </w:p>
    <w:p w14:paraId="61862006" w14:textId="77777777" w:rsidR="00FE0969" w:rsidRDefault="004074AE">
      <w:pPr>
        <w:numPr>
          <w:ilvl w:val="1"/>
          <w:numId w:val="1"/>
        </w:numPr>
        <w:pBdr>
          <w:top w:val="nil"/>
          <w:left w:val="nil"/>
          <w:bottom w:val="nil"/>
          <w:right w:val="nil"/>
          <w:between w:val="nil"/>
        </w:pBdr>
        <w:spacing w:before="20" w:after="20" w:line="276" w:lineRule="auto"/>
      </w:pPr>
      <w:r>
        <w:rPr>
          <w:rFonts w:ascii="Arial" w:eastAsia="Arial" w:hAnsi="Arial" w:cs="Arial"/>
          <w:color w:val="000000"/>
        </w:rPr>
        <w:t>Confirm final CHECKLISTS are uploaded in Administrative Documents.</w:t>
      </w:r>
    </w:p>
    <w:p w14:paraId="71878149" w14:textId="77777777" w:rsidR="00FE0969" w:rsidRDefault="004074AE">
      <w:pPr>
        <w:numPr>
          <w:ilvl w:val="1"/>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For initial reviews, continuing review, or modification:</w:t>
      </w:r>
    </w:p>
    <w:p w14:paraId="7677B811" w14:textId="77777777" w:rsidR="00FE0969" w:rsidRDefault="004074AE">
      <w:pPr>
        <w:numPr>
          <w:ilvl w:val="2"/>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 xml:space="preserve">If the communication is an </w:t>
      </w:r>
      <w:r w:rsidRPr="003E1CEE">
        <w:rPr>
          <w:rFonts w:ascii="Arial" w:eastAsia="Arial" w:hAnsi="Arial" w:cs="Arial"/>
          <w:color w:val="000000"/>
        </w:rPr>
        <w:t>IRB determination of Approved</w:t>
      </w:r>
      <w:r>
        <w:rPr>
          <w:rFonts w:ascii="Arial" w:eastAsia="Arial" w:hAnsi="Arial" w:cs="Arial"/>
          <w:color w:val="000000"/>
        </w:rPr>
        <w:t>:</w:t>
      </w:r>
    </w:p>
    <w:p w14:paraId="69DD4967" w14:textId="77777777" w:rsidR="00FE0969" w:rsidRDefault="004074AE">
      <w:pPr>
        <w:numPr>
          <w:ilvl w:val="3"/>
          <w:numId w:val="1"/>
        </w:numPr>
        <w:pBdr>
          <w:top w:val="nil"/>
          <w:left w:val="nil"/>
          <w:bottom w:val="nil"/>
          <w:right w:val="nil"/>
          <w:between w:val="nil"/>
        </w:pBdr>
        <w:spacing w:before="20" w:after="20" w:line="240" w:lineRule="auto"/>
        <w:rPr>
          <w:color w:val="000000"/>
        </w:rPr>
      </w:pPr>
      <w:r>
        <w:rPr>
          <w:rFonts w:ascii="Arial" w:eastAsia="Arial" w:hAnsi="Arial" w:cs="Arial"/>
          <w:color w:val="000000"/>
        </w:rPr>
        <w:t>Refer to HRP-302 - WORKSHEET - Approval Intervals to calculate approval intervals (if applicable).</w:t>
      </w:r>
    </w:p>
    <w:p w14:paraId="6955DD8A" w14:textId="77777777" w:rsidR="00FE0969" w:rsidRDefault="004074AE">
      <w:pPr>
        <w:numPr>
          <w:ilvl w:val="3"/>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Execute the applicable “Set Amendment Approval Date” or “Set Approval and Expiration Date” activity.</w:t>
      </w:r>
    </w:p>
    <w:p w14:paraId="1E20F145" w14:textId="77777777" w:rsidR="00FE0969" w:rsidRDefault="004074AE">
      <w:pPr>
        <w:numPr>
          <w:ilvl w:val="4"/>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For expedited studies reviewed under the 2018 Common Rule regulatory authority, enter an expedited anniversary date to facilitate an automated RAMS-IRB status update request.</w:t>
      </w:r>
    </w:p>
    <w:p w14:paraId="19317CB4" w14:textId="64B6184C" w:rsidR="006A1CED" w:rsidRDefault="00ED3A0E">
      <w:pPr>
        <w:numPr>
          <w:ilvl w:val="3"/>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 xml:space="preserve">Reference HRP-303 - WORKSHEET - Communication of Review Results to determine </w:t>
      </w:r>
      <w:r w:rsidR="003A03B9">
        <w:rPr>
          <w:rFonts w:ascii="Arial" w:eastAsia="Arial" w:hAnsi="Arial" w:cs="Arial"/>
          <w:color w:val="000000"/>
        </w:rPr>
        <w:t>the appropriate letter template</w:t>
      </w:r>
      <w:r w:rsidR="006A1CED">
        <w:rPr>
          <w:rFonts w:ascii="Arial" w:eastAsia="Arial" w:hAnsi="Arial" w:cs="Arial"/>
          <w:color w:val="000000"/>
        </w:rPr>
        <w:t>.</w:t>
      </w:r>
      <w:r w:rsidR="003A03B9">
        <w:rPr>
          <w:rFonts w:ascii="Arial" w:eastAsia="Arial" w:hAnsi="Arial" w:cs="Arial"/>
          <w:color w:val="000000"/>
        </w:rPr>
        <w:t xml:space="preserve"> </w:t>
      </w:r>
    </w:p>
    <w:p w14:paraId="6D26C217" w14:textId="3485446A" w:rsidR="008A78FD" w:rsidRDefault="006A1CED">
      <w:pPr>
        <w:numPr>
          <w:ilvl w:val="3"/>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E</w:t>
      </w:r>
      <w:r w:rsidR="004074AE">
        <w:rPr>
          <w:rFonts w:ascii="Arial" w:eastAsia="Arial" w:hAnsi="Arial" w:cs="Arial"/>
          <w:color w:val="000000"/>
        </w:rPr>
        <w:t>xecute the “Prepare Correspondence Letter” activity and modify the</w:t>
      </w:r>
      <w:r w:rsidR="00CB21F6">
        <w:rPr>
          <w:rFonts w:ascii="Arial" w:eastAsia="Arial" w:hAnsi="Arial" w:cs="Arial"/>
          <w:color w:val="000000"/>
        </w:rPr>
        <w:t xml:space="preserve"> system or paper-based</w:t>
      </w:r>
      <w:r w:rsidR="004074AE">
        <w:rPr>
          <w:rFonts w:ascii="Arial" w:eastAsia="Arial" w:hAnsi="Arial" w:cs="Arial"/>
          <w:color w:val="000000"/>
        </w:rPr>
        <w:t xml:space="preserve"> letter as needed.</w:t>
      </w:r>
    </w:p>
    <w:p w14:paraId="099DB106" w14:textId="77777777" w:rsidR="00FE0969" w:rsidRDefault="004074AE">
      <w:pPr>
        <w:numPr>
          <w:ilvl w:val="3"/>
          <w:numId w:val="1"/>
        </w:numPr>
        <w:pBdr>
          <w:top w:val="nil"/>
          <w:left w:val="nil"/>
          <w:bottom w:val="nil"/>
          <w:right w:val="nil"/>
          <w:between w:val="nil"/>
        </w:pBdr>
        <w:spacing w:before="20" w:after="20" w:line="240" w:lineRule="auto"/>
        <w:rPr>
          <w:color w:val="000000"/>
        </w:rPr>
      </w:pPr>
      <w:r>
        <w:rPr>
          <w:rFonts w:ascii="Arial" w:eastAsia="Arial" w:hAnsi="Arial" w:cs="Arial"/>
          <w:color w:val="000000"/>
        </w:rPr>
        <w:t>Execute the “Send Correspondence Letter” activity.</w:t>
      </w:r>
    </w:p>
    <w:p w14:paraId="019CEC34" w14:textId="77777777" w:rsidR="00FE0969" w:rsidRPr="00BF39D3" w:rsidRDefault="004074AE">
      <w:pPr>
        <w:numPr>
          <w:ilvl w:val="4"/>
          <w:numId w:val="1"/>
        </w:numPr>
        <w:pBdr>
          <w:top w:val="nil"/>
          <w:left w:val="nil"/>
          <w:bottom w:val="nil"/>
          <w:right w:val="nil"/>
          <w:between w:val="nil"/>
        </w:pBdr>
        <w:spacing w:before="20" w:after="20" w:line="240" w:lineRule="auto"/>
      </w:pPr>
      <w:r>
        <w:rPr>
          <w:rFonts w:ascii="Arial" w:eastAsia="Arial" w:hAnsi="Arial" w:cs="Arial"/>
          <w:color w:val="000000"/>
        </w:rPr>
        <w:t>If reviewed at a convened meeting, send to the Chair or Vice Chair to approve the correspondence letter. The Chair/Vice Chair will execute the “Send to Study Team” activity.</w:t>
      </w:r>
    </w:p>
    <w:p w14:paraId="7C1E4321" w14:textId="77777777" w:rsidR="00FE0969" w:rsidRDefault="004074AE">
      <w:pPr>
        <w:numPr>
          <w:ilvl w:val="4"/>
          <w:numId w:val="1"/>
        </w:numPr>
        <w:pBdr>
          <w:top w:val="nil"/>
          <w:left w:val="nil"/>
          <w:bottom w:val="nil"/>
          <w:right w:val="nil"/>
          <w:between w:val="nil"/>
        </w:pBdr>
        <w:spacing w:before="20" w:after="20" w:line="240" w:lineRule="auto"/>
      </w:pPr>
      <w:r>
        <w:rPr>
          <w:rFonts w:ascii="Arial" w:eastAsia="Arial" w:hAnsi="Arial" w:cs="Arial"/>
          <w:color w:val="000000"/>
        </w:rPr>
        <w:t>If reviewed by non-committee review, send to the assigned IRB Coordinator to approve. Execute the “Send to Study Team” activity.</w:t>
      </w:r>
    </w:p>
    <w:p w14:paraId="30024AB1" w14:textId="77777777" w:rsidR="00FE0969" w:rsidRDefault="004074AE">
      <w:pPr>
        <w:numPr>
          <w:ilvl w:val="3"/>
          <w:numId w:val="1"/>
        </w:numPr>
        <w:spacing w:before="20" w:after="20" w:line="240" w:lineRule="auto"/>
      </w:pPr>
      <w:r>
        <w:rPr>
          <w:rFonts w:ascii="Arial" w:eastAsia="Arial" w:hAnsi="Arial" w:cs="Arial"/>
          <w:color w:val="000000"/>
        </w:rPr>
        <w:t>Execute the “Finalize Approved Documents” activity to accept (approve) all changes for attached documents. “Stamp” relevant documents (“yes” for consent forms and instructions to participants). Where indicated, reupload clean, stamped versions of the finalized documents.</w:t>
      </w:r>
    </w:p>
    <w:p w14:paraId="62F83780" w14:textId="77777777" w:rsidR="00FE0969" w:rsidRDefault="004074AE">
      <w:pPr>
        <w:numPr>
          <w:ilvl w:val="3"/>
          <w:numId w:val="1"/>
        </w:numPr>
        <w:spacing w:before="20" w:after="20" w:line="240" w:lineRule="auto"/>
      </w:pPr>
      <w:r>
        <w:rPr>
          <w:rFonts w:ascii="Arial" w:eastAsia="Arial" w:hAnsi="Arial" w:cs="Arial"/>
          <w:color w:val="000000"/>
        </w:rPr>
        <w:t>Complete the “Send to Approved” activity.</w:t>
      </w:r>
    </w:p>
    <w:p w14:paraId="16A5A210" w14:textId="77777777" w:rsidR="00D85A30" w:rsidRPr="00BF39D3" w:rsidRDefault="004074AE" w:rsidP="00D85A30">
      <w:pPr>
        <w:numPr>
          <w:ilvl w:val="3"/>
          <w:numId w:val="1"/>
        </w:numPr>
        <w:spacing w:before="20" w:after="20" w:line="240" w:lineRule="auto"/>
      </w:pPr>
      <w:r>
        <w:rPr>
          <w:rFonts w:ascii="Arial" w:eastAsia="Arial" w:hAnsi="Arial" w:cs="Arial"/>
          <w:color w:val="000000"/>
        </w:rPr>
        <w:t>“Log Private Comment” to the parent submission for studies under Committee Review where the IRB determined the study is minimal risk and therefore eligible for expedited continuing review.</w:t>
      </w:r>
    </w:p>
    <w:p w14:paraId="7F9D47AE" w14:textId="5C64F60D" w:rsidR="00613F72" w:rsidRPr="000D4917" w:rsidRDefault="00D2406F" w:rsidP="00BF39D3">
      <w:pPr>
        <w:numPr>
          <w:ilvl w:val="3"/>
          <w:numId w:val="1"/>
        </w:numPr>
        <w:spacing w:before="20" w:after="20" w:line="240" w:lineRule="auto"/>
      </w:pPr>
      <w:r w:rsidRPr="00BF39D3">
        <w:rPr>
          <w:rFonts w:ascii="Arial" w:hAnsi="Arial" w:cs="Arial"/>
        </w:rPr>
        <w:t>E</w:t>
      </w:r>
      <w:r w:rsidR="009C743B" w:rsidRPr="00BF39D3">
        <w:rPr>
          <w:rFonts w:ascii="Arial" w:hAnsi="Arial" w:cs="Arial"/>
        </w:rPr>
        <w:t>xecute</w:t>
      </w:r>
      <w:r w:rsidR="00F30605" w:rsidRPr="00BF39D3">
        <w:rPr>
          <w:rFonts w:ascii="Arial" w:hAnsi="Arial" w:cs="Arial"/>
        </w:rPr>
        <w:t xml:space="preserve"> the Lift Suspension activity</w:t>
      </w:r>
      <w:r w:rsidR="009C743B" w:rsidRPr="00BF39D3">
        <w:rPr>
          <w:rFonts w:ascii="Arial" w:hAnsi="Arial" w:cs="Arial"/>
        </w:rPr>
        <w:t xml:space="preserve"> on the parent submission</w:t>
      </w:r>
      <w:r w:rsidR="00F30605" w:rsidRPr="00BF39D3">
        <w:rPr>
          <w:rFonts w:ascii="Arial" w:hAnsi="Arial" w:cs="Arial"/>
        </w:rPr>
        <w:t xml:space="preserve"> to move the study status from Suspended to Approved</w:t>
      </w:r>
      <w:r w:rsidRPr="00BF39D3">
        <w:rPr>
          <w:rFonts w:ascii="Arial" w:hAnsi="Arial" w:cs="Arial"/>
        </w:rPr>
        <w:t>, when applicable.</w:t>
      </w:r>
    </w:p>
    <w:p w14:paraId="356252AB" w14:textId="54D0DC32" w:rsidR="00FE0969" w:rsidRPr="00BF39D3" w:rsidRDefault="00001C86" w:rsidP="00BF39D3">
      <w:pPr>
        <w:pStyle w:val="NoSpacing"/>
        <w:ind w:left="1008" w:firstLine="720"/>
        <w:rPr>
          <w:rFonts w:ascii="Arial" w:hAnsi="Arial" w:cs="Arial"/>
        </w:rPr>
      </w:pPr>
      <w:r>
        <w:rPr>
          <w:rFonts w:ascii="Arial" w:hAnsi="Arial" w:cs="Arial"/>
        </w:rPr>
        <w:lastRenderedPageBreak/>
        <w:t>5.3.1.10</w:t>
      </w:r>
      <w:r>
        <w:rPr>
          <w:rFonts w:ascii="Arial" w:hAnsi="Arial" w:cs="Arial"/>
        </w:rPr>
        <w:tab/>
      </w:r>
      <w:r w:rsidR="004074AE" w:rsidRPr="00BF39D3">
        <w:rPr>
          <w:rFonts w:ascii="Arial" w:hAnsi="Arial" w:cs="Arial"/>
          <w:color w:val="000000"/>
        </w:rPr>
        <w:t xml:space="preserve">“Reassign Ownership” to the appropriate team lead if the submission received a different level of review than anticipated during HRP-020 - SOP - Incoming Items. (e.g., An expedited submission that received Committee Review, or a full board submission determined to be minimal risk and eligible for expedited continuing review.) </w:t>
      </w:r>
    </w:p>
    <w:p w14:paraId="180A2983" w14:textId="77777777" w:rsidR="00FE0969" w:rsidRDefault="004074AE">
      <w:pPr>
        <w:numPr>
          <w:ilvl w:val="2"/>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 xml:space="preserve">If the communication is an </w:t>
      </w:r>
      <w:r w:rsidRPr="003E1CEE">
        <w:rPr>
          <w:rFonts w:ascii="Arial" w:eastAsia="Arial" w:hAnsi="Arial" w:cs="Arial"/>
          <w:color w:val="000000"/>
        </w:rPr>
        <w:t>IRB determination other than Approved</w:t>
      </w:r>
      <w:r>
        <w:rPr>
          <w:rFonts w:ascii="Arial" w:eastAsia="Arial" w:hAnsi="Arial" w:cs="Arial"/>
          <w:color w:val="000000"/>
        </w:rPr>
        <w:t>:</w:t>
      </w:r>
    </w:p>
    <w:p w14:paraId="58E753B1" w14:textId="77777777" w:rsidR="00FE0969" w:rsidRDefault="004074AE">
      <w:pPr>
        <w:numPr>
          <w:ilvl w:val="3"/>
          <w:numId w:val="1"/>
        </w:numPr>
        <w:pBdr>
          <w:top w:val="nil"/>
          <w:left w:val="nil"/>
          <w:bottom w:val="nil"/>
          <w:right w:val="nil"/>
          <w:between w:val="nil"/>
        </w:pBdr>
        <w:spacing w:before="20" w:after="20" w:line="240" w:lineRule="auto"/>
        <w:rPr>
          <w:color w:val="000000"/>
        </w:rPr>
      </w:pPr>
      <w:r>
        <w:rPr>
          <w:rFonts w:ascii="Arial" w:eastAsia="Arial" w:hAnsi="Arial" w:cs="Arial"/>
          <w:color w:val="000000"/>
        </w:rPr>
        <w:t>Execute the “Send Correspondence Letter” activity and modify the letter as needed.</w:t>
      </w:r>
    </w:p>
    <w:p w14:paraId="3D82839E" w14:textId="77777777" w:rsidR="00FE0969" w:rsidRDefault="004074AE">
      <w:pPr>
        <w:numPr>
          <w:ilvl w:val="4"/>
          <w:numId w:val="1"/>
        </w:numPr>
        <w:pBdr>
          <w:top w:val="nil"/>
          <w:left w:val="nil"/>
          <w:bottom w:val="nil"/>
          <w:right w:val="nil"/>
          <w:between w:val="nil"/>
        </w:pBdr>
        <w:spacing w:before="20" w:after="20" w:line="240" w:lineRule="auto"/>
      </w:pPr>
      <w:r>
        <w:rPr>
          <w:rFonts w:ascii="Arial" w:eastAsia="Arial" w:hAnsi="Arial" w:cs="Arial"/>
          <w:color w:val="000000"/>
        </w:rPr>
        <w:t>If reviewed at a convened meeting, send to Chair or Vice Chair to approve the correspondence letter. The Chair/Vice Chair will execute the “Send to Study Team” activity.</w:t>
      </w:r>
    </w:p>
    <w:p w14:paraId="530027D4" w14:textId="77777777" w:rsidR="00FE0969" w:rsidRDefault="004074AE">
      <w:pPr>
        <w:numPr>
          <w:ilvl w:val="3"/>
          <w:numId w:val="1"/>
        </w:numPr>
        <w:pBdr>
          <w:top w:val="nil"/>
          <w:left w:val="nil"/>
          <w:bottom w:val="nil"/>
          <w:right w:val="nil"/>
          <w:between w:val="nil"/>
        </w:pBdr>
        <w:spacing w:before="20" w:after="20" w:line="240" w:lineRule="auto"/>
      </w:pPr>
      <w:r>
        <w:rPr>
          <w:rFonts w:ascii="Arial" w:eastAsia="Arial" w:hAnsi="Arial" w:cs="Arial"/>
          <w:color w:val="000000"/>
        </w:rPr>
        <w:t>Execute the “Send to Study Team” activity.</w:t>
      </w:r>
    </w:p>
    <w:p w14:paraId="4804CB47" w14:textId="62403780" w:rsidR="00FE0969" w:rsidRDefault="004074AE">
      <w:pPr>
        <w:numPr>
          <w:ilvl w:val="1"/>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Refer to HRP-303 - WORKSHEET - Communication of Review Results to determine if any</w:t>
      </w:r>
      <w:r w:rsidR="00C93241">
        <w:rPr>
          <w:rFonts w:ascii="Arial" w:eastAsia="Arial" w:hAnsi="Arial" w:cs="Arial"/>
          <w:color w:val="000000"/>
        </w:rPr>
        <w:t xml:space="preserve"> additional</w:t>
      </w:r>
      <w:r>
        <w:rPr>
          <w:rFonts w:ascii="Arial" w:eastAsia="Arial" w:hAnsi="Arial" w:cs="Arial"/>
          <w:color w:val="000000"/>
        </w:rPr>
        <w:t xml:space="preserve"> paper-based letters need to be sent and send all applicable letters within 30 business days.</w:t>
      </w:r>
    </w:p>
    <w:p w14:paraId="7AF745C5" w14:textId="671752F2" w:rsidR="00FE0969" w:rsidRDefault="004074AE">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Refer to HRP-303 - WORKSHEET - Communication of Review Results and send applicable letter to the Principal Investigator within 5 business days.</w:t>
      </w:r>
    </w:p>
    <w:p w14:paraId="7B3C94BE" w14:textId="77777777" w:rsidR="00FE0969" w:rsidRDefault="004074AE">
      <w:pPr>
        <w:numPr>
          <w:ilvl w:val="3"/>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Have letter signed by the signatory in the template letter.</w:t>
      </w:r>
    </w:p>
    <w:p w14:paraId="5E2338BB" w14:textId="77777777" w:rsidR="00FE0969" w:rsidRDefault="004074AE">
      <w:pPr>
        <w:numPr>
          <w:ilvl w:val="4"/>
          <w:numId w:val="1"/>
        </w:numPr>
        <w:pBdr>
          <w:top w:val="nil"/>
          <w:left w:val="nil"/>
          <w:bottom w:val="nil"/>
          <w:right w:val="nil"/>
          <w:between w:val="nil"/>
        </w:pBdr>
        <w:spacing w:before="20" w:after="20" w:line="276" w:lineRule="auto"/>
      </w:pPr>
      <w:r>
        <w:rPr>
          <w:rFonts w:ascii="Arial" w:eastAsia="Arial" w:hAnsi="Arial" w:cs="Arial"/>
          <w:color w:val="000000"/>
        </w:rPr>
        <w:t>Use of HRP-522 - LETTER - Cert Prisoner Research requires review by the HRPP Director in advance of sending.</w:t>
      </w:r>
    </w:p>
    <w:p w14:paraId="08443395" w14:textId="77777777" w:rsidR="00FE0969" w:rsidRDefault="004074AE">
      <w:pPr>
        <w:numPr>
          <w:ilvl w:val="3"/>
          <w:numId w:val="1"/>
        </w:numPr>
        <w:pBdr>
          <w:top w:val="nil"/>
          <w:left w:val="nil"/>
          <w:bottom w:val="nil"/>
          <w:right w:val="nil"/>
          <w:between w:val="nil"/>
        </w:pBdr>
        <w:spacing w:before="20" w:after="20" w:line="276" w:lineRule="auto"/>
        <w:rPr>
          <w:color w:val="000000"/>
        </w:rPr>
      </w:pPr>
      <w:r>
        <w:rPr>
          <w:rFonts w:ascii="Arial" w:eastAsia="Arial" w:hAnsi="Arial" w:cs="Arial"/>
          <w:color w:val="000000"/>
        </w:rPr>
        <w:t>Send the letter to the inside addresses and cc list as directed by the letter.</w:t>
      </w:r>
    </w:p>
    <w:p w14:paraId="0BE45B76" w14:textId="77777777" w:rsidR="00FE0969" w:rsidRDefault="004074AE">
      <w:pPr>
        <w:numPr>
          <w:ilvl w:val="1"/>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 xml:space="preserve">For determinations of </w:t>
      </w:r>
      <w:r>
        <w:rPr>
          <w:rFonts w:ascii="Arial" w:eastAsia="Arial" w:hAnsi="Arial" w:cs="Arial"/>
          <w:color w:val="000000"/>
          <w:u w:val="single"/>
        </w:rPr>
        <w:t>Serious Non-Compliance</w:t>
      </w:r>
      <w:r>
        <w:rPr>
          <w:rFonts w:ascii="Arial" w:eastAsia="Arial" w:hAnsi="Arial" w:cs="Arial"/>
          <w:color w:val="000000"/>
        </w:rPr>
        <w:t xml:space="preserve">; </w:t>
      </w:r>
      <w:r>
        <w:rPr>
          <w:rFonts w:ascii="Arial" w:eastAsia="Arial" w:hAnsi="Arial" w:cs="Arial"/>
          <w:color w:val="000000"/>
          <w:u w:val="single"/>
        </w:rPr>
        <w:t>Continuing Non-Compliance</w:t>
      </w:r>
      <w:r>
        <w:rPr>
          <w:rFonts w:ascii="Arial" w:eastAsia="Arial" w:hAnsi="Arial" w:cs="Arial"/>
          <w:color w:val="000000"/>
        </w:rPr>
        <w:t xml:space="preserve">; </w:t>
      </w:r>
      <w:r>
        <w:rPr>
          <w:rFonts w:ascii="Arial" w:eastAsia="Arial" w:hAnsi="Arial" w:cs="Arial"/>
          <w:color w:val="000000"/>
          <w:u w:val="single"/>
        </w:rPr>
        <w:t>Suspension of IRB Approval</w:t>
      </w:r>
      <w:r>
        <w:rPr>
          <w:rFonts w:ascii="Arial" w:eastAsia="Arial" w:hAnsi="Arial" w:cs="Arial"/>
          <w:color w:val="000000"/>
        </w:rPr>
        <w:t xml:space="preserve">; </w:t>
      </w:r>
      <w:r>
        <w:rPr>
          <w:rFonts w:ascii="Arial" w:eastAsia="Arial" w:hAnsi="Arial" w:cs="Arial"/>
          <w:color w:val="000000"/>
          <w:u w:val="single"/>
        </w:rPr>
        <w:t>Termination of IRB Approval</w:t>
      </w:r>
      <w:r>
        <w:rPr>
          <w:rFonts w:ascii="Arial" w:eastAsia="Arial" w:hAnsi="Arial" w:cs="Arial"/>
          <w:color w:val="000000"/>
        </w:rPr>
        <w:t xml:space="preserve">; or </w:t>
      </w:r>
      <w:r>
        <w:rPr>
          <w:rFonts w:ascii="Arial" w:eastAsia="Arial" w:hAnsi="Arial" w:cs="Arial"/>
          <w:color w:val="000000"/>
          <w:u w:val="single"/>
        </w:rPr>
        <w:t>Unanticipated Problem Involving Risks to Subjects or Others</w:t>
      </w:r>
      <w:r>
        <w:rPr>
          <w:rFonts w:ascii="Arial" w:eastAsia="Arial" w:hAnsi="Arial" w:cs="Arial"/>
          <w:color w:val="000000"/>
        </w:rPr>
        <w:t>:</w:t>
      </w:r>
    </w:p>
    <w:p w14:paraId="5295771D" w14:textId="77777777" w:rsidR="00FE0969" w:rsidRDefault="004074AE" w:rsidP="00990558">
      <w:pPr>
        <w:numPr>
          <w:ilvl w:val="2"/>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Execute the “Prepare Correspondence Letter” activity and modify HRP-519 - LETTER - Information Item.</w:t>
      </w:r>
    </w:p>
    <w:p w14:paraId="4B0764AF" w14:textId="77777777" w:rsidR="00FE0969" w:rsidRDefault="004074AE">
      <w:pPr>
        <w:numPr>
          <w:ilvl w:val="2"/>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Send to the Chair or Vice Chair to approve the correspondence letter. The Chair/Vice Chair will execute the “Send to Study Team” activity.</w:t>
      </w:r>
    </w:p>
    <w:p w14:paraId="75AE5C8C" w14:textId="35824397" w:rsidR="00FE0969" w:rsidRDefault="004074AE">
      <w:pPr>
        <w:numPr>
          <w:ilvl w:val="2"/>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Add to the Federal Reporting Tracking Log.</w:t>
      </w:r>
    </w:p>
    <w:p w14:paraId="3D2151EF" w14:textId="0DF83FCB" w:rsidR="00FE0969" w:rsidRDefault="004074AE">
      <w:pPr>
        <w:numPr>
          <w:ilvl w:val="2"/>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 xml:space="preserve">The following steps are performed by the </w:t>
      </w:r>
      <w:sdt>
        <w:sdtPr>
          <w:tag w:val="goog_rdk_6"/>
          <w:id w:val="1424381685"/>
        </w:sdtPr>
        <w:sdtContent>
          <w:r>
            <w:rPr>
              <w:rFonts w:ascii="Arial" w:eastAsia="Arial" w:hAnsi="Arial" w:cs="Arial"/>
              <w:color w:val="000000"/>
            </w:rPr>
            <w:t>IRB Meeting Coordinator</w:t>
          </w:r>
        </w:sdtContent>
      </w:sdt>
      <w:r>
        <w:rPr>
          <w:rFonts w:ascii="Arial" w:eastAsia="Arial" w:hAnsi="Arial" w:cs="Arial"/>
          <w:color w:val="000000"/>
        </w:rPr>
        <w:t>, or designee, in consultation with the HRPP Director or designee:</w:t>
      </w:r>
    </w:p>
    <w:p w14:paraId="42510708" w14:textId="77777777" w:rsidR="00FE0969" w:rsidRDefault="004074AE">
      <w:pPr>
        <w:numPr>
          <w:ilvl w:val="3"/>
          <w:numId w:val="1"/>
        </w:numPr>
        <w:pBdr>
          <w:top w:val="nil"/>
          <w:left w:val="nil"/>
          <w:bottom w:val="nil"/>
          <w:right w:val="nil"/>
          <w:between w:val="nil"/>
        </w:pBdr>
        <w:spacing w:before="20" w:after="20" w:line="240" w:lineRule="auto"/>
      </w:pPr>
      <w:r>
        <w:rPr>
          <w:rFonts w:ascii="Arial" w:eastAsia="Arial" w:hAnsi="Arial" w:cs="Arial"/>
          <w:color w:val="000000"/>
        </w:rPr>
        <w:t xml:space="preserve">When reporting to OHRP only, complete the </w:t>
      </w:r>
      <w:r>
        <w:rPr>
          <w:rFonts w:ascii="Arial" w:eastAsia="Arial" w:hAnsi="Arial" w:cs="Arial"/>
          <w:i/>
          <w:color w:val="000000"/>
        </w:rPr>
        <w:t>OHRP Incident Report Form</w:t>
      </w:r>
      <w:r>
        <w:rPr>
          <w:rFonts w:ascii="Arial" w:eastAsia="Arial" w:hAnsi="Arial" w:cs="Arial"/>
          <w:i/>
          <w:color w:val="000000"/>
          <w:vertAlign w:val="superscript"/>
        </w:rPr>
        <w:footnoteReference w:id="1"/>
      </w:r>
      <w:r>
        <w:rPr>
          <w:rFonts w:ascii="Arial" w:eastAsia="Arial" w:hAnsi="Arial" w:cs="Arial"/>
          <w:color w:val="000000"/>
        </w:rPr>
        <w:t xml:space="preserve"> within 30 business days from the determination of a reportable problem.</w:t>
      </w:r>
    </w:p>
    <w:p w14:paraId="39878324" w14:textId="77777777" w:rsidR="00FE0969" w:rsidRDefault="004074AE">
      <w:pPr>
        <w:numPr>
          <w:ilvl w:val="3"/>
          <w:numId w:val="1"/>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If reporting to both OHRP and any other outside agency concurrently, utilize the OHRP Incident Report Form email confirmation and HRP-520a - LETTER - External Report - OHRP and Other Agencies and send within 30 business days from the determination of a reportable problem.</w:t>
      </w:r>
    </w:p>
    <w:p w14:paraId="1EBECFA0" w14:textId="77777777" w:rsidR="00FE0969" w:rsidRPr="00BF39D3" w:rsidRDefault="004074AE" w:rsidP="005C516C">
      <w:pPr>
        <w:numPr>
          <w:ilvl w:val="3"/>
          <w:numId w:val="1"/>
        </w:numPr>
        <w:pBdr>
          <w:top w:val="nil"/>
          <w:left w:val="nil"/>
          <w:bottom w:val="nil"/>
          <w:right w:val="nil"/>
          <w:between w:val="nil"/>
        </w:pBdr>
        <w:spacing w:before="20" w:after="20" w:line="240" w:lineRule="auto"/>
      </w:pPr>
      <w:r>
        <w:rPr>
          <w:rFonts w:ascii="Arial" w:eastAsia="Arial" w:hAnsi="Arial" w:cs="Arial"/>
          <w:color w:val="000000"/>
        </w:rPr>
        <w:t>Modify HRP-520a - LETTER - External Report - OHRP and Other Agencies for VCU internal communication of the reportable problem; attach the OHRP Incident Report Form email confirmation, and when applicable, a copy of the HRP-520a letter sent to any other outside agency.</w:t>
      </w:r>
    </w:p>
    <w:p w14:paraId="665AB3C5" w14:textId="68575850" w:rsidR="003F1220" w:rsidRDefault="00315C52" w:rsidP="00BF39D3">
      <w:pPr>
        <w:ind w:left="1728"/>
      </w:pPr>
      <w:r>
        <w:rPr>
          <w:rFonts w:ascii="Arial" w:eastAsia="Arial" w:hAnsi="Arial" w:cs="Arial"/>
          <w:color w:val="000000"/>
        </w:rPr>
        <w:t>5.5.4.4</w:t>
      </w:r>
      <w:r>
        <w:rPr>
          <w:rFonts w:ascii="Arial" w:eastAsia="Arial" w:hAnsi="Arial" w:cs="Arial"/>
          <w:color w:val="000000"/>
        </w:rPr>
        <w:tab/>
      </w:r>
      <w:r w:rsidR="005C516C">
        <w:rPr>
          <w:rFonts w:ascii="Arial" w:eastAsia="Arial" w:hAnsi="Arial" w:cs="Arial"/>
          <w:color w:val="000000"/>
        </w:rPr>
        <w:t xml:space="preserve">Save all materials to the VPR-IRB drive </w:t>
      </w:r>
      <w:r w:rsidR="00B810C7">
        <w:rPr>
          <w:rFonts w:ascii="Arial" w:eastAsia="Arial" w:hAnsi="Arial" w:cs="Arial"/>
          <w:color w:val="000000"/>
        </w:rPr>
        <w:t xml:space="preserve">in the applicable </w:t>
      </w:r>
      <w:r w:rsidR="002C466E">
        <w:rPr>
          <w:rFonts w:ascii="Arial" w:eastAsia="Arial" w:hAnsi="Arial" w:cs="Arial"/>
          <w:color w:val="000000"/>
        </w:rPr>
        <w:t>Federal Correspondence</w:t>
      </w:r>
      <w:r w:rsidR="00B810C7">
        <w:rPr>
          <w:rFonts w:ascii="Arial" w:eastAsia="Arial" w:hAnsi="Arial" w:cs="Arial"/>
          <w:color w:val="000000"/>
        </w:rPr>
        <w:t xml:space="preserve"> sub-folder.</w:t>
      </w:r>
    </w:p>
    <w:p w14:paraId="5FD34291" w14:textId="77777777" w:rsidR="00FE0969" w:rsidRDefault="004074AE">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MATERIALS</w:t>
      </w:r>
    </w:p>
    <w:p w14:paraId="46ADB028" w14:textId="77777777" w:rsidR="00FE0969" w:rsidRDefault="004074AE">
      <w:pPr>
        <w:numPr>
          <w:ilvl w:val="1"/>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HRP-031 - SOP - Non-Committee Review Preparation</w:t>
      </w:r>
    </w:p>
    <w:p w14:paraId="104BD590" w14:textId="77777777" w:rsidR="00FE0969" w:rsidRDefault="004074AE">
      <w:pPr>
        <w:numPr>
          <w:ilvl w:val="1"/>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 xml:space="preserve">HRP-302 - WORKSHEET - Approval Intervals </w:t>
      </w:r>
    </w:p>
    <w:p w14:paraId="484C9F6C" w14:textId="77777777" w:rsidR="00FE0969" w:rsidRDefault="004074AE">
      <w:pPr>
        <w:numPr>
          <w:ilvl w:val="1"/>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HRP-303 - WORKSHEET - Communication of Review Results</w:t>
      </w:r>
    </w:p>
    <w:p w14:paraId="308A387D" w14:textId="77777777" w:rsidR="00FE0969" w:rsidRDefault="004074AE">
      <w:pPr>
        <w:numPr>
          <w:ilvl w:val="1"/>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HRP-520a - LETTER - External Report OHRP and Other Agencies</w:t>
      </w:r>
    </w:p>
    <w:p w14:paraId="1443D0AB" w14:textId="77777777" w:rsidR="00FE0969" w:rsidRDefault="004074AE">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lastRenderedPageBreak/>
        <w:t>REFERENCES</w:t>
      </w:r>
    </w:p>
    <w:p w14:paraId="08A8EC98" w14:textId="77777777" w:rsidR="00FE0969" w:rsidRDefault="004074AE">
      <w:pPr>
        <w:numPr>
          <w:ilvl w:val="1"/>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45 CFR §46.103(b)(4)(i), 45 CFR §46.207, 45 CFR §46.306(2)(C), 45 CFR §46.306(2)(D), 45 CFR §46.407, 45 CFR §46 Waiver of Informed Consent Requirements in Certain Emergency Research (November 1, 1996)</w:t>
      </w:r>
    </w:p>
    <w:p w14:paraId="538926BC" w14:textId="77777777" w:rsidR="00FE0969" w:rsidRDefault="004074AE">
      <w:pPr>
        <w:numPr>
          <w:ilvl w:val="1"/>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21 CFR §56.108(a)(1), 21 CFR §50.24(e), 21 CFR §50.54(b), 21 CFR §812.66</w:t>
      </w:r>
    </w:p>
    <w:p w14:paraId="4F9FD7E2" w14:textId="77777777" w:rsidR="00FE0969" w:rsidRPr="004A4F76" w:rsidRDefault="004074AE">
      <w:pPr>
        <w:numPr>
          <w:ilvl w:val="1"/>
          <w:numId w:val="1"/>
        </w:numPr>
        <w:pBdr>
          <w:top w:val="nil"/>
          <w:left w:val="nil"/>
          <w:bottom w:val="nil"/>
          <w:right w:val="nil"/>
          <w:between w:val="nil"/>
        </w:pBdr>
        <w:spacing w:before="20" w:after="20" w:line="276" w:lineRule="auto"/>
        <w:rPr>
          <w:rFonts w:ascii="Arial" w:eastAsia="Arial" w:hAnsi="Arial" w:cs="Arial"/>
          <w:color w:val="FF0000"/>
        </w:rPr>
      </w:pPr>
      <w:r w:rsidRPr="004A4F76">
        <w:rPr>
          <w:rFonts w:ascii="Arial" w:eastAsia="Arial" w:hAnsi="Arial" w:cs="Arial"/>
          <w:color w:val="FF0000"/>
        </w:rPr>
        <w:t>VHA Directive 1058.01 October 22, 2020</w:t>
      </w:r>
    </w:p>
    <w:p w14:paraId="4229CDEC" w14:textId="77777777" w:rsidR="00FE0969" w:rsidRDefault="004074AE">
      <w:pPr>
        <w:numPr>
          <w:ilvl w:val="1"/>
          <w:numId w:val="1"/>
        </w:numPr>
        <w:pBdr>
          <w:top w:val="nil"/>
          <w:left w:val="nil"/>
          <w:bottom w:val="nil"/>
          <w:right w:val="nil"/>
          <w:between w:val="nil"/>
        </w:pBdr>
        <w:spacing w:before="20" w:after="20" w:line="276" w:lineRule="auto"/>
        <w:rPr>
          <w:rFonts w:ascii="Arial" w:eastAsia="Arial" w:hAnsi="Arial" w:cs="Arial"/>
        </w:rPr>
      </w:pPr>
      <w:r>
        <w:rPr>
          <w:rFonts w:ascii="Arial" w:eastAsia="Arial" w:hAnsi="Arial" w:cs="Arial"/>
          <w:color w:val="000000"/>
        </w:rPr>
        <w:t>AAHRPP elements I.1.A, I.5.D, I-9, II.1.D, II.1.E, II.2.A, II.2.G, II.2.H, II.2.E-II.2.E.2, II.2.F-II.2.F.3, III.2.D</w:t>
      </w:r>
    </w:p>
    <w:p w14:paraId="58CDA1E3" w14:textId="77777777" w:rsidR="00FE0969" w:rsidRDefault="00FE0969">
      <w:pPr>
        <w:pBdr>
          <w:top w:val="nil"/>
          <w:left w:val="nil"/>
          <w:bottom w:val="nil"/>
          <w:right w:val="nil"/>
          <w:between w:val="nil"/>
        </w:pBdr>
        <w:spacing w:before="40" w:after="40" w:line="240" w:lineRule="auto"/>
        <w:ind w:left="360" w:hanging="360"/>
        <w:rPr>
          <w:rFonts w:ascii="Arial" w:eastAsia="Arial" w:hAnsi="Arial" w:cs="Arial"/>
          <w:b/>
          <w:color w:val="000000"/>
          <w:sz w:val="20"/>
          <w:szCs w:val="20"/>
        </w:rPr>
      </w:pPr>
    </w:p>
    <w:sectPr w:rsidR="00FE0969">
      <w:headerReference w:type="default" r:id="rId8"/>
      <w:footerReference w:type="default" r:id="rId9"/>
      <w:headerReference w:type="first" r:id="rId10"/>
      <w:footerReference w:type="first" r:id="rId1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91095" w14:textId="77777777" w:rsidR="00996DE9" w:rsidRDefault="00996DE9">
      <w:pPr>
        <w:spacing w:after="0" w:line="240" w:lineRule="auto"/>
      </w:pPr>
      <w:r>
        <w:separator/>
      </w:r>
    </w:p>
  </w:endnote>
  <w:endnote w:type="continuationSeparator" w:id="0">
    <w:p w14:paraId="3450F56F" w14:textId="77777777" w:rsidR="00996DE9" w:rsidRDefault="0099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AD5A" w14:textId="77777777" w:rsidR="00FE0969" w:rsidRDefault="004074AE">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AE50B0">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AE50B0">
      <w:rPr>
        <w:b/>
        <w:noProof/>
        <w:color w:val="000000"/>
      </w:rPr>
      <w:t>3</w:t>
    </w:r>
    <w:r>
      <w:rPr>
        <w:b/>
        <w:color w:val="000000"/>
      </w:rPr>
      <w:fldChar w:fldCharType="end"/>
    </w:r>
  </w:p>
  <w:p w14:paraId="18432C3E" w14:textId="77777777" w:rsidR="00FE0969" w:rsidRDefault="00FE0969">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12F4" w14:textId="77777777" w:rsidR="00FE0969" w:rsidRDefault="004074AE">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AE50B0">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AE50B0">
      <w:rPr>
        <w:b/>
        <w:noProof/>
        <w:color w:val="000000"/>
      </w:rPr>
      <w:t>2</w:t>
    </w:r>
    <w:r>
      <w:rPr>
        <w:b/>
        <w:color w:val="000000"/>
      </w:rPr>
      <w:fldChar w:fldCharType="end"/>
    </w:r>
  </w:p>
  <w:p w14:paraId="579DF5D4" w14:textId="77777777" w:rsidR="00FE0969" w:rsidRDefault="00FE0969">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EB022" w14:textId="77777777" w:rsidR="00996DE9" w:rsidRDefault="00996DE9">
      <w:pPr>
        <w:spacing w:after="0" w:line="240" w:lineRule="auto"/>
      </w:pPr>
      <w:r>
        <w:separator/>
      </w:r>
    </w:p>
  </w:footnote>
  <w:footnote w:type="continuationSeparator" w:id="0">
    <w:p w14:paraId="28DA022E" w14:textId="77777777" w:rsidR="00996DE9" w:rsidRDefault="00996DE9">
      <w:pPr>
        <w:spacing w:after="0" w:line="240" w:lineRule="auto"/>
      </w:pPr>
      <w:r>
        <w:continuationSeparator/>
      </w:r>
    </w:p>
  </w:footnote>
  <w:footnote w:id="1">
    <w:p w14:paraId="77EC5343" w14:textId="77777777" w:rsidR="00FE0969" w:rsidRDefault="004074A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
        <w:r>
          <w:rPr>
            <w:color w:val="0000FF"/>
            <w:sz w:val="20"/>
            <w:szCs w:val="20"/>
            <w:u w:val="single"/>
          </w:rPr>
          <w:t>https://oash.force.com/ohrpwebforms/s/incident-web-form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E7C0" w14:textId="77777777" w:rsidR="00FE0969" w:rsidRDefault="00FE0969">
    <w:pPr>
      <w:pBdr>
        <w:top w:val="nil"/>
        <w:left w:val="nil"/>
        <w:bottom w:val="nil"/>
        <w:right w:val="nil"/>
        <w:between w:val="nil"/>
      </w:pBdr>
      <w:tabs>
        <w:tab w:val="center" w:pos="4680"/>
        <w:tab w:val="right" w:pos="9360"/>
      </w:tabs>
      <w:spacing w:after="0" w:line="240" w:lineRule="auto"/>
      <w:jc w:val="center"/>
      <w:rPr>
        <w:color w:val="000000"/>
      </w:rPr>
    </w:pPr>
  </w:p>
  <w:p w14:paraId="7DD8A988" w14:textId="77777777" w:rsidR="00FE0969" w:rsidRDefault="00FE0969">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D141" w14:textId="77777777" w:rsidR="00FE0969" w:rsidRDefault="004074AE">
    <w:pPr>
      <w:pBdr>
        <w:top w:val="nil"/>
        <w:left w:val="nil"/>
        <w:bottom w:val="nil"/>
        <w:right w:val="nil"/>
        <w:between w:val="nil"/>
      </w:pBdr>
      <w:tabs>
        <w:tab w:val="center" w:pos="4680"/>
        <w:tab w:val="right" w:pos="9360"/>
      </w:tabs>
      <w:spacing w:after="0" w:line="240" w:lineRule="auto"/>
      <w:jc w:val="center"/>
      <w:rPr>
        <w:color w:val="000000"/>
      </w:rPr>
    </w:pPr>
    <w:r>
      <w:rPr>
        <w:noProof/>
      </w:rPr>
      <w:drawing>
        <wp:inline distT="114300" distB="114300" distL="114300" distR="114300" wp14:anchorId="7401BDA6" wp14:editId="2F67D425">
          <wp:extent cx="3663677" cy="452438"/>
          <wp:effectExtent l="0" t="0" r="0" b="5080"/>
          <wp:docPr id="8" name="image1.jp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8" name="image1.jp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663677" cy="452438"/>
                  </a:xfrm>
                  <a:prstGeom prst="rect">
                    <a:avLst/>
                  </a:prstGeom>
                  <a:ln/>
                </pic:spPr>
              </pic:pic>
            </a:graphicData>
          </a:graphic>
        </wp:inline>
      </w:drawing>
    </w:r>
  </w:p>
  <w:p w14:paraId="556D685A" w14:textId="77777777" w:rsidR="00FE0969" w:rsidRDefault="00FE0969">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30F18"/>
    <w:multiLevelType w:val="multilevel"/>
    <w:tmpl w:val="27C868FE"/>
    <w:lvl w:ilvl="0">
      <w:start w:val="1"/>
      <w:numFmt w:val="decimal"/>
      <w:lvlText w:val="%1"/>
      <w:lvlJc w:val="left"/>
      <w:pPr>
        <w:ind w:left="360" w:hanging="360"/>
      </w:pPr>
    </w:lvl>
    <w:lvl w:ilvl="1">
      <w:start w:val="1"/>
      <w:numFmt w:val="decimal"/>
      <w:lvlText w:val="%1.%2"/>
      <w:lvlJc w:val="left"/>
      <w:pPr>
        <w:ind w:left="576" w:hanging="216"/>
      </w:pPr>
      <w:rPr>
        <w:rFonts w:ascii="Arial" w:eastAsia="Arial" w:hAnsi="Arial" w:cs="Arial"/>
        <w:b w:val="0"/>
        <w:i w:val="0"/>
        <w:color w:val="000000"/>
        <w:sz w:val="22"/>
        <w:szCs w:val="22"/>
      </w:rPr>
    </w:lvl>
    <w:lvl w:ilvl="2">
      <w:start w:val="1"/>
      <w:numFmt w:val="decimal"/>
      <w:lvlText w:val="%1.%2.%3"/>
      <w:lvlJc w:val="left"/>
      <w:pPr>
        <w:ind w:left="1206" w:firstLine="144"/>
      </w:pPr>
      <w:rPr>
        <w:rFonts w:ascii="Arial" w:eastAsia="Arial" w:hAnsi="Arial" w:cs="Arial"/>
        <w:b w:val="0"/>
        <w:i w:val="0"/>
        <w:color w:val="000000" w:themeColor="text1"/>
        <w:sz w:val="22"/>
        <w:szCs w:val="22"/>
      </w:rPr>
    </w:lvl>
    <w:lvl w:ilvl="3">
      <w:start w:val="1"/>
      <w:numFmt w:val="decimal"/>
      <w:lvlText w:val="%1.%2.%3.%4"/>
      <w:lvlJc w:val="left"/>
      <w:pPr>
        <w:ind w:left="1008" w:firstLine="720"/>
      </w:pPr>
      <w:rPr>
        <w:rFonts w:ascii="Arial" w:eastAsia="Arial" w:hAnsi="Arial" w:cs="Arial"/>
        <w:b w:val="0"/>
        <w:i w:val="0"/>
        <w:strike w:val="0"/>
        <w:color w:val="000000" w:themeColor="text1"/>
        <w:sz w:val="22"/>
        <w:szCs w:val="22"/>
        <w:vertAlign w:val="baseline"/>
      </w:rPr>
    </w:lvl>
    <w:lvl w:ilvl="4">
      <w:start w:val="1"/>
      <w:numFmt w:val="decimal"/>
      <w:lvlText w:val="%1.%2.%3.%4.%5"/>
      <w:lvlJc w:val="left"/>
      <w:pPr>
        <w:ind w:left="1224" w:firstLine="1512"/>
      </w:pPr>
      <w:rPr>
        <w:rFonts w:ascii="Arial" w:eastAsia="Arial" w:hAnsi="Arial" w:cs="Arial"/>
        <w:b w:val="0"/>
      </w:rPr>
    </w:lvl>
    <w:lvl w:ilvl="5">
      <w:start w:val="1"/>
      <w:numFmt w:val="decimal"/>
      <w:lvlText w:val="%1.%2.%3.%4.%5.%6"/>
      <w:lvlJc w:val="left"/>
      <w:pPr>
        <w:ind w:left="1440" w:firstLine="2520"/>
      </w:pPr>
      <w:rPr>
        <w:rFonts w:ascii="Arial" w:eastAsia="Arial" w:hAnsi="Arial" w:cs="Arial"/>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9C51229"/>
    <w:multiLevelType w:val="multilevel"/>
    <w:tmpl w:val="E4123656"/>
    <w:lvl w:ilvl="0">
      <w:start w:val="1"/>
      <w:numFmt w:val="decimal"/>
      <w:lvlText w:val="%1"/>
      <w:lvlJc w:val="left"/>
      <w:pPr>
        <w:ind w:left="360" w:hanging="360"/>
      </w:pPr>
    </w:lvl>
    <w:lvl w:ilvl="1">
      <w:start w:val="1"/>
      <w:numFmt w:val="decimal"/>
      <w:lvlText w:val="%1.%2"/>
      <w:lvlJc w:val="left"/>
      <w:pPr>
        <w:ind w:left="576" w:hanging="216"/>
      </w:pPr>
      <w:rPr>
        <w:b w:val="0"/>
        <w:i w:val="0"/>
        <w:sz w:val="22"/>
        <w:szCs w:val="22"/>
      </w:rPr>
    </w:lvl>
    <w:lvl w:ilvl="2">
      <w:start w:val="1"/>
      <w:numFmt w:val="decimal"/>
      <w:lvlText w:val="%1.%2.%3"/>
      <w:lvlJc w:val="left"/>
      <w:pPr>
        <w:ind w:left="1206" w:firstLine="144"/>
      </w:pPr>
      <w:rPr>
        <w:b w:val="0"/>
        <w:i w:val="0"/>
        <w:sz w:val="22"/>
        <w:szCs w:val="22"/>
      </w:rPr>
    </w:lvl>
    <w:lvl w:ilvl="3">
      <w:start w:val="1"/>
      <w:numFmt w:val="decimal"/>
      <w:lvlText w:val="%1.%2.%3.%4"/>
      <w:lvlJc w:val="left"/>
      <w:pPr>
        <w:ind w:left="1008" w:firstLine="720"/>
      </w:pPr>
      <w:rPr>
        <w:b w:val="0"/>
        <w:i w:val="0"/>
        <w:strike w:val="0"/>
        <w:sz w:val="22"/>
        <w:szCs w:val="22"/>
        <w:vertAlign w:val="baseline"/>
      </w:rPr>
    </w:lvl>
    <w:lvl w:ilvl="4">
      <w:start w:val="1"/>
      <w:numFmt w:val="decimal"/>
      <w:lvlText w:val="%1.%2.%3.%4.%5"/>
      <w:lvlJc w:val="left"/>
      <w:pPr>
        <w:ind w:left="1224" w:firstLine="1512"/>
      </w:pPr>
    </w:lvl>
    <w:lvl w:ilvl="5">
      <w:start w:val="1"/>
      <w:numFmt w:val="decimal"/>
      <w:lvlText w:val="%1.%2.%3.%4.%5.%6"/>
      <w:lvlJc w:val="left"/>
      <w:pPr>
        <w:ind w:left="1440" w:firstLine="2520"/>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02C1ACD"/>
    <w:multiLevelType w:val="multilevel"/>
    <w:tmpl w:val="DF30BA0C"/>
    <w:lvl w:ilvl="0">
      <w:start w:val="1"/>
      <w:numFmt w:val="decimal"/>
      <w:pStyle w:val="SOPLevel1"/>
      <w:lvlText w:val="%1"/>
      <w:lvlJc w:val="left"/>
      <w:pPr>
        <w:ind w:left="360" w:hanging="360"/>
      </w:pPr>
    </w:lvl>
    <w:lvl w:ilvl="1">
      <w:start w:val="1"/>
      <w:numFmt w:val="decimal"/>
      <w:pStyle w:val="SOPLevel2"/>
      <w:lvlText w:val="%1.%2"/>
      <w:lvlJc w:val="left"/>
      <w:pPr>
        <w:ind w:left="576" w:hanging="216"/>
      </w:pPr>
      <w:rPr>
        <w:rFonts w:ascii="Arial" w:eastAsia="Arial" w:hAnsi="Arial" w:cs="Arial"/>
        <w:b w:val="0"/>
        <w:i w:val="0"/>
        <w:sz w:val="22"/>
        <w:szCs w:val="22"/>
      </w:rPr>
    </w:lvl>
    <w:lvl w:ilvl="2">
      <w:start w:val="1"/>
      <w:numFmt w:val="decimal"/>
      <w:pStyle w:val="SOPLevel3"/>
      <w:lvlText w:val="%1.%2.%3"/>
      <w:lvlJc w:val="left"/>
      <w:pPr>
        <w:ind w:left="1206" w:firstLine="144"/>
      </w:pPr>
      <w:rPr>
        <w:b w:val="0"/>
        <w:i w:val="0"/>
        <w:sz w:val="22"/>
        <w:szCs w:val="22"/>
      </w:rPr>
    </w:lvl>
    <w:lvl w:ilvl="3">
      <w:start w:val="1"/>
      <w:numFmt w:val="decimal"/>
      <w:pStyle w:val="SOPLevel4"/>
      <w:lvlText w:val="%1.%2.%3.%4"/>
      <w:lvlJc w:val="left"/>
      <w:pPr>
        <w:ind w:left="1008" w:firstLine="720"/>
      </w:pPr>
      <w:rPr>
        <w:rFonts w:ascii="Arial" w:eastAsia="Arial" w:hAnsi="Arial" w:cs="Arial"/>
        <w:b w:val="0"/>
        <w:i w:val="0"/>
        <w:strike w:val="0"/>
        <w:sz w:val="22"/>
        <w:szCs w:val="22"/>
        <w:vertAlign w:val="baseline"/>
      </w:rPr>
    </w:lvl>
    <w:lvl w:ilvl="4">
      <w:start w:val="1"/>
      <w:numFmt w:val="decimal"/>
      <w:pStyle w:val="SOPLevel5"/>
      <w:lvlText w:val="%1.%2.%3.%4.%5"/>
      <w:lvlJc w:val="left"/>
      <w:pPr>
        <w:ind w:left="1224" w:firstLine="1512"/>
      </w:pPr>
      <w:rPr>
        <w:rFonts w:ascii="Arial" w:eastAsia="Arial" w:hAnsi="Arial" w:cs="Arial"/>
        <w:b w:val="0"/>
      </w:rPr>
    </w:lvl>
    <w:lvl w:ilvl="5">
      <w:start w:val="1"/>
      <w:numFmt w:val="decimal"/>
      <w:pStyle w:val="SOPLevel6"/>
      <w:lvlText w:val="%1.%2.%3.%4.%5.%6"/>
      <w:lvlJc w:val="left"/>
      <w:pPr>
        <w:ind w:left="1440" w:firstLine="2520"/>
      </w:pPr>
      <w:rPr>
        <w:rFonts w:ascii="Arial" w:eastAsia="Arial" w:hAnsi="Arial" w:cs="Arial"/>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875120507">
    <w:abstractNumId w:val="0"/>
  </w:num>
  <w:num w:numId="2" w16cid:durableId="594287294">
    <w:abstractNumId w:val="1"/>
  </w:num>
  <w:num w:numId="3" w16cid:durableId="1354382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969"/>
    <w:rsid w:val="00001C86"/>
    <w:rsid w:val="0004793D"/>
    <w:rsid w:val="00055EEB"/>
    <w:rsid w:val="00074633"/>
    <w:rsid w:val="000D4917"/>
    <w:rsid w:val="00100AC9"/>
    <w:rsid w:val="0014399D"/>
    <w:rsid w:val="001500EC"/>
    <w:rsid w:val="00153909"/>
    <w:rsid w:val="001D4358"/>
    <w:rsid w:val="00271335"/>
    <w:rsid w:val="00292E33"/>
    <w:rsid w:val="002974E8"/>
    <w:rsid w:val="00297F66"/>
    <w:rsid w:val="002B3A6C"/>
    <w:rsid w:val="002C466E"/>
    <w:rsid w:val="002D1FFB"/>
    <w:rsid w:val="00315C52"/>
    <w:rsid w:val="00324DA2"/>
    <w:rsid w:val="00330690"/>
    <w:rsid w:val="003A03B9"/>
    <w:rsid w:val="003E1CEE"/>
    <w:rsid w:val="003F1220"/>
    <w:rsid w:val="004074AE"/>
    <w:rsid w:val="00473FC5"/>
    <w:rsid w:val="004A4F76"/>
    <w:rsid w:val="004D3B89"/>
    <w:rsid w:val="004E1252"/>
    <w:rsid w:val="004F571A"/>
    <w:rsid w:val="005C516C"/>
    <w:rsid w:val="0061044A"/>
    <w:rsid w:val="00613F72"/>
    <w:rsid w:val="00674621"/>
    <w:rsid w:val="00697744"/>
    <w:rsid w:val="006A1CED"/>
    <w:rsid w:val="006B63CD"/>
    <w:rsid w:val="006C57EA"/>
    <w:rsid w:val="006E39EF"/>
    <w:rsid w:val="007459EA"/>
    <w:rsid w:val="007A2704"/>
    <w:rsid w:val="008101E8"/>
    <w:rsid w:val="00820135"/>
    <w:rsid w:val="008A78FD"/>
    <w:rsid w:val="008D0204"/>
    <w:rsid w:val="008D2DE1"/>
    <w:rsid w:val="00921976"/>
    <w:rsid w:val="00990558"/>
    <w:rsid w:val="00996DE9"/>
    <w:rsid w:val="009C743B"/>
    <w:rsid w:val="009D6C9A"/>
    <w:rsid w:val="009F4081"/>
    <w:rsid w:val="00A96F78"/>
    <w:rsid w:val="00AE50B0"/>
    <w:rsid w:val="00B136FA"/>
    <w:rsid w:val="00B46B03"/>
    <w:rsid w:val="00B810C7"/>
    <w:rsid w:val="00BB27EC"/>
    <w:rsid w:val="00BF39D3"/>
    <w:rsid w:val="00BF7819"/>
    <w:rsid w:val="00C143D1"/>
    <w:rsid w:val="00C70E7B"/>
    <w:rsid w:val="00C73E0E"/>
    <w:rsid w:val="00C7443C"/>
    <w:rsid w:val="00C93241"/>
    <w:rsid w:val="00CB21F6"/>
    <w:rsid w:val="00CC65BB"/>
    <w:rsid w:val="00CD5EE2"/>
    <w:rsid w:val="00D2406F"/>
    <w:rsid w:val="00D65DD5"/>
    <w:rsid w:val="00D85A30"/>
    <w:rsid w:val="00DE11BE"/>
    <w:rsid w:val="00DE4CB7"/>
    <w:rsid w:val="00EA50C9"/>
    <w:rsid w:val="00EB5C0D"/>
    <w:rsid w:val="00ED3A0E"/>
    <w:rsid w:val="00F1015B"/>
    <w:rsid w:val="00F30605"/>
    <w:rsid w:val="00FA3F22"/>
    <w:rsid w:val="00FE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1E82"/>
  <w15:docId w15:val="{6386556F-43E3-4B1E-94BB-0BD1D95D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paragraph" w:customStyle="1" w:styleId="SOPLevel1">
    <w:name w:val="SOP Level 1"/>
    <w:basedOn w:val="Normal"/>
    <w:pPr>
      <w:numPr>
        <w:numId w:val="3"/>
      </w:numPr>
      <w:spacing w:before="40" w:after="40" w:line="240" w:lineRule="auto"/>
    </w:pPr>
    <w:rPr>
      <w:rFonts w:ascii="Arial" w:eastAsia="Times New Roman" w:hAnsi="Arial" w:cs="Tahoma"/>
      <w:b/>
      <w:sz w:val="20"/>
      <w:szCs w:val="24"/>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tabs>
        <w:tab w:val="num" w:pos="1728"/>
      </w:tabs>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styleId="PlaceholderText">
    <w:name w:val="Placeholder Text"/>
    <w:basedOn w:val="DefaultParagraphFont"/>
    <w:uiPriority w:val="99"/>
    <w:semiHidden/>
    <w:rPr>
      <w:color w:val="808080"/>
    </w:rPr>
  </w:style>
  <w:style w:type="character" w:styleId="Mention">
    <w:name w:val="Mention"/>
    <w:basedOn w:val="DefaultParagraphFont"/>
    <w:uiPriority w:val="99"/>
    <w:unhideWhenUsed/>
    <w:rPr>
      <w:color w:val="2B579A"/>
      <w:shd w:val="clear" w:color="auto" w:fill="E1DFDD"/>
    </w:rPr>
  </w:style>
  <w:style w:type="character" w:styleId="Hyperlink">
    <w:name w:val="Hyperlink"/>
    <w:unhideWhenUsed/>
    <w:rPr>
      <w:color w:val="0000FF"/>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8A78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ash.force.com/ohrpwebforms/s/incident-web-for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Y9qWt9jTNRCUFWcv+Y1vZM7X1Q==">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1309</Words>
  <Characters>7464</Characters>
  <Application>Microsoft Office Word</Application>
  <DocSecurity>0</DocSecurity>
  <Lines>62</Lines>
  <Paragraphs>17</Paragraphs>
  <ScaleCrop>false</ScaleCrop>
  <Company>Huron</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 Isley</dc:creator>
  <cp:lastModifiedBy>jenny rice</cp:lastModifiedBy>
  <cp:revision>2</cp:revision>
  <dcterms:created xsi:type="dcterms:W3CDTF">2024-03-26T17:04:00Z</dcterms:created>
  <dcterms:modified xsi:type="dcterms:W3CDTF">2024-03-26T17:04:00Z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