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DEF8D" w14:textId="5A503B1F" w:rsidR="00EA5EAE" w:rsidRDefault="003A4249">
      <w:pPr>
        <w:spacing w:after="0"/>
        <w:jc w:val="center"/>
        <w:rPr>
          <w:rFonts w:ascii="Arial" w:eastAsia="Arial" w:hAnsi="Arial" w:cs="Arial"/>
        </w:rPr>
      </w:pPr>
      <w:r>
        <w:rPr>
          <w:rFonts w:ascii="Arial" w:eastAsia="Arial" w:hAnsi="Arial" w:cs="Arial"/>
        </w:rPr>
        <w:t>HRP-063 | 0</w:t>
      </w:r>
      <w:r w:rsidR="004A614E">
        <w:rPr>
          <w:rFonts w:ascii="Arial" w:eastAsia="Arial" w:hAnsi="Arial" w:cs="Arial"/>
        </w:rPr>
        <w:t>3</w:t>
      </w:r>
      <w:r>
        <w:rPr>
          <w:rFonts w:ascii="Arial" w:eastAsia="Arial" w:hAnsi="Arial" w:cs="Arial"/>
        </w:rPr>
        <w:t>/</w:t>
      </w:r>
      <w:r w:rsidR="004A614E">
        <w:rPr>
          <w:rFonts w:ascii="Arial" w:eastAsia="Arial" w:hAnsi="Arial" w:cs="Arial"/>
        </w:rPr>
        <w:t>0</w:t>
      </w:r>
      <w:r>
        <w:rPr>
          <w:rFonts w:ascii="Arial" w:eastAsia="Arial" w:hAnsi="Arial" w:cs="Arial"/>
        </w:rPr>
        <w:t>1/202</w:t>
      </w:r>
      <w:r w:rsidR="00950D71">
        <w:rPr>
          <w:rFonts w:ascii="Arial" w:eastAsia="Arial" w:hAnsi="Arial" w:cs="Arial"/>
        </w:rPr>
        <w:t>4</w:t>
      </w:r>
      <w:r w:rsidR="004A614E">
        <w:rPr>
          <w:rFonts w:ascii="Arial" w:eastAsia="Arial" w:hAnsi="Arial" w:cs="Arial"/>
        </w:rPr>
        <w:t xml:space="preserve"> </w:t>
      </w:r>
      <w:r>
        <w:rPr>
          <w:rFonts w:ascii="Arial" w:eastAsia="Arial" w:hAnsi="Arial" w:cs="Arial"/>
        </w:rPr>
        <w:t xml:space="preserve">| Author: T. </w:t>
      </w:r>
      <w:proofErr w:type="spellStart"/>
      <w:r>
        <w:rPr>
          <w:rFonts w:ascii="Arial" w:eastAsia="Arial" w:hAnsi="Arial" w:cs="Arial"/>
        </w:rPr>
        <w:t>Bechert</w:t>
      </w:r>
      <w:proofErr w:type="spellEnd"/>
      <w:r>
        <w:rPr>
          <w:rFonts w:ascii="Arial" w:eastAsia="Arial" w:hAnsi="Arial" w:cs="Arial"/>
        </w:rPr>
        <w:t xml:space="preserve"> | Approver: S. Brooks</w:t>
      </w:r>
    </w:p>
    <w:p w14:paraId="6FBDEF8E" w14:textId="77777777" w:rsidR="00EA5EAE" w:rsidRDefault="00EA5EAE">
      <w:pPr>
        <w:spacing w:after="0"/>
      </w:pPr>
    </w:p>
    <w:p w14:paraId="6FBDEF8F" w14:textId="77777777" w:rsidR="00EA5EAE" w:rsidRDefault="003A4249">
      <w:pPr>
        <w:pBdr>
          <w:top w:val="nil"/>
          <w:left w:val="nil"/>
          <w:bottom w:val="nil"/>
          <w:right w:val="nil"/>
          <w:between w:val="nil"/>
        </w:pBdr>
        <w:spacing w:line="240" w:lineRule="auto"/>
        <w:jc w:val="center"/>
        <w:rPr>
          <w:rFonts w:ascii="Arial" w:eastAsia="Arial" w:hAnsi="Arial" w:cs="Arial"/>
          <w:b/>
          <w:color w:val="000000"/>
          <w:sz w:val="32"/>
          <w:szCs w:val="32"/>
        </w:rPr>
      </w:pPr>
      <w:r>
        <w:rPr>
          <w:rFonts w:ascii="Arial" w:eastAsia="Arial" w:hAnsi="Arial" w:cs="Arial"/>
          <w:b/>
          <w:color w:val="000000"/>
          <w:sz w:val="32"/>
          <w:szCs w:val="32"/>
        </w:rPr>
        <w:t>SOP: Expiration of IRB Approval</w:t>
      </w:r>
      <w:r>
        <w:rPr>
          <w:rFonts w:ascii="Arial" w:eastAsia="Arial" w:hAnsi="Arial" w:cs="Arial"/>
          <w:b/>
          <w:color w:val="000000"/>
        </w:rPr>
        <w:t xml:space="preserve"> </w:t>
      </w:r>
    </w:p>
    <w:p w14:paraId="6FBDEF90" w14:textId="77777777" w:rsidR="00EA5EAE" w:rsidRDefault="00EA5EAE">
      <w:pPr>
        <w:pBdr>
          <w:top w:val="nil"/>
          <w:left w:val="nil"/>
          <w:bottom w:val="nil"/>
          <w:right w:val="nil"/>
          <w:between w:val="nil"/>
        </w:pBdr>
        <w:spacing w:line="240" w:lineRule="auto"/>
        <w:jc w:val="center"/>
        <w:rPr>
          <w:rFonts w:ascii="Arial" w:eastAsia="Arial" w:hAnsi="Arial" w:cs="Arial"/>
          <w:b/>
          <w:color w:val="000000"/>
          <w:sz w:val="32"/>
          <w:szCs w:val="32"/>
        </w:rPr>
      </w:pPr>
    </w:p>
    <w:p w14:paraId="6FBDEF91" w14:textId="77777777" w:rsidR="00EA5EAE" w:rsidRDefault="003A4249">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PURPOSE</w:t>
      </w:r>
    </w:p>
    <w:p w14:paraId="6FBDEF92" w14:textId="77777777" w:rsidR="00EA5EAE" w:rsidRDefault="003A4249">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This procedure establishes the process for a </w:t>
      </w:r>
      <w:r>
        <w:rPr>
          <w:rFonts w:ascii="Arial" w:eastAsia="Arial" w:hAnsi="Arial" w:cs="Arial"/>
          <w:color w:val="000000"/>
          <w:u w:val="single"/>
        </w:rPr>
        <w:t>Designated Reviewer</w:t>
      </w:r>
      <w:r>
        <w:rPr>
          <w:rFonts w:ascii="Arial" w:eastAsia="Arial" w:hAnsi="Arial" w:cs="Arial"/>
          <w:color w:val="000000"/>
        </w:rPr>
        <w:t xml:space="preserve"> to determine whether current subjects may continue in expired research.</w:t>
      </w:r>
    </w:p>
    <w:p w14:paraId="6FBDEF93" w14:textId="77777777" w:rsidR="00EA5EAE" w:rsidRDefault="003A4249">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The process begins when the </w:t>
      </w:r>
      <w:r>
        <w:rPr>
          <w:rFonts w:ascii="Arial" w:eastAsia="Arial" w:hAnsi="Arial" w:cs="Arial"/>
          <w:color w:val="000000"/>
          <w:u w:val="single"/>
        </w:rPr>
        <w:t>Designated Reviewer</w:t>
      </w:r>
      <w:r>
        <w:rPr>
          <w:rFonts w:ascii="Arial" w:eastAsia="Arial" w:hAnsi="Arial" w:cs="Arial"/>
          <w:color w:val="000000"/>
        </w:rPr>
        <w:t xml:space="preserve"> is notified of a request by an investigator of a request for current subjects to continue in expired research.</w:t>
      </w:r>
    </w:p>
    <w:p w14:paraId="6FBDEF94" w14:textId="77777777" w:rsidR="00EA5EAE" w:rsidRDefault="003A4249">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The process ends when the </w:t>
      </w:r>
      <w:r>
        <w:rPr>
          <w:rFonts w:ascii="Arial" w:eastAsia="Arial" w:hAnsi="Arial" w:cs="Arial"/>
          <w:color w:val="000000"/>
          <w:u w:val="single"/>
        </w:rPr>
        <w:t>Designated Reviewer</w:t>
      </w:r>
      <w:r>
        <w:rPr>
          <w:rFonts w:ascii="Arial" w:eastAsia="Arial" w:hAnsi="Arial" w:cs="Arial"/>
          <w:color w:val="000000"/>
        </w:rPr>
        <w:t xml:space="preserve"> has communicated a decision and documented the decision in writing.</w:t>
      </w:r>
    </w:p>
    <w:p w14:paraId="6FBDEF95" w14:textId="77777777" w:rsidR="00EA5EAE" w:rsidRDefault="003A4249">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REVISIONS FROM PREVIOUS VERSION</w:t>
      </w:r>
    </w:p>
    <w:p w14:paraId="6FBDEF96" w14:textId="77777777" w:rsidR="00EA5EAE" w:rsidRDefault="003A4249">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None</w:t>
      </w:r>
    </w:p>
    <w:p w14:paraId="6FBDEF97" w14:textId="77777777" w:rsidR="00EA5EAE" w:rsidRDefault="003A4249">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POLICY</w:t>
      </w:r>
    </w:p>
    <w:p w14:paraId="6FBDEF98" w14:textId="77777777" w:rsidR="00EA5EAE" w:rsidRDefault="003A4249">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Investigators are granted 30 </w:t>
      </w:r>
      <w:r>
        <w:rPr>
          <w:rFonts w:ascii="Arial" w:eastAsia="Arial" w:hAnsi="Arial" w:cs="Arial"/>
        </w:rPr>
        <w:t>calendar</w:t>
      </w:r>
      <w:r>
        <w:rPr>
          <w:rFonts w:ascii="Arial" w:eastAsia="Arial" w:hAnsi="Arial" w:cs="Arial"/>
          <w:color w:val="000000"/>
        </w:rPr>
        <w:t xml:space="preserve"> days to respond to an issued “Modifications Required to Secure Approval.” </w:t>
      </w:r>
    </w:p>
    <w:p w14:paraId="6FBDEF99" w14:textId="77777777" w:rsidR="00EA5EAE" w:rsidRDefault="003A4249">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RAMS-IRB will auto-withdraw any submission if the response to an issued “Modifications Required to Secure Approval” has not been returned within 30 calendar days. </w:t>
      </w:r>
    </w:p>
    <w:p w14:paraId="6FBDEF9A" w14:textId="77777777" w:rsidR="00EA5EAE" w:rsidRDefault="003A4249">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research is granted “Modifications Required to Secure Approval” and expires before response materials are reviewed and approved, these procedures are to be followed.</w:t>
      </w:r>
    </w:p>
    <w:p w14:paraId="6FBDEF9B" w14:textId="77777777" w:rsidR="00EA5EAE" w:rsidRDefault="003A4249">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RESPONSIBILITIES</w:t>
      </w:r>
    </w:p>
    <w:p w14:paraId="6FBDEF9C" w14:textId="77777777" w:rsidR="00EA5EAE" w:rsidRDefault="003A4249">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A </w:t>
      </w:r>
      <w:r>
        <w:rPr>
          <w:rFonts w:ascii="Arial" w:eastAsia="Arial" w:hAnsi="Arial" w:cs="Arial"/>
          <w:color w:val="000000"/>
          <w:u w:val="single"/>
        </w:rPr>
        <w:t>Designated Reviewer</w:t>
      </w:r>
      <w:r>
        <w:rPr>
          <w:rFonts w:ascii="Arial" w:eastAsia="Arial" w:hAnsi="Arial" w:cs="Arial"/>
          <w:color w:val="000000"/>
        </w:rPr>
        <w:t xml:space="preserve"> is responsible to follow these procedures.</w:t>
      </w:r>
    </w:p>
    <w:p w14:paraId="6FBDEF9D" w14:textId="77777777" w:rsidR="00EA5EAE" w:rsidRDefault="003A4249">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PROCEDURE</w:t>
      </w:r>
    </w:p>
    <w:p w14:paraId="6FBDEF9E" w14:textId="77777777" w:rsidR="00EA5EAE" w:rsidRDefault="003A4249">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Determine from the investigator which subjects need to continue in the expired research, what procedures are being requested to continue, and why.</w:t>
      </w:r>
    </w:p>
    <w:p w14:paraId="6FBDEF9F" w14:textId="77777777" w:rsidR="00EA5EAE" w:rsidRDefault="003A4249">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Do not allow new subjects to be enrolled under any circumstances.</w:t>
      </w:r>
    </w:p>
    <w:p w14:paraId="6FBDEFA0" w14:textId="77777777" w:rsidR="00EA5EAE" w:rsidRDefault="003A4249">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Determine which subjects can continue in the research based on these principles:</w:t>
      </w:r>
    </w:p>
    <w:p w14:paraId="6FBDEFA1" w14:textId="77777777" w:rsidR="00EA5EAE" w:rsidRDefault="003A424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In general, research procedures should be safely discontinued.</w:t>
      </w:r>
    </w:p>
    <w:p w14:paraId="6FBDEFA2" w14:textId="77777777" w:rsidR="00EA5EAE" w:rsidRDefault="003A424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In general, the only research procedures that should continue are those that are not available outside of the research context. If the required procedures can be provided as standard of care, these should be provided as such.</w:t>
      </w:r>
    </w:p>
    <w:p w14:paraId="6FBDEFA3" w14:textId="77777777" w:rsidR="00EA5EAE" w:rsidRDefault="003A424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In general, research procedures conducted to collect data with no direct benefit to the subject should not continue.</w:t>
      </w:r>
    </w:p>
    <w:p w14:paraId="6FBDEFA4" w14:textId="77777777" w:rsidR="00EA5EAE" w:rsidRDefault="003A4249">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In some cases, an ethical issue may be raised where the above general principles may not be followed.</w:t>
      </w:r>
    </w:p>
    <w:p w14:paraId="6FBDEFA5" w14:textId="77777777" w:rsidR="00EA5EAE" w:rsidRPr="00BF04DA" w:rsidRDefault="003A4249">
      <w:pPr>
        <w:numPr>
          <w:ilvl w:val="1"/>
          <w:numId w:val="1"/>
        </w:numPr>
        <w:pBdr>
          <w:top w:val="nil"/>
          <w:left w:val="nil"/>
          <w:bottom w:val="nil"/>
          <w:right w:val="nil"/>
          <w:between w:val="nil"/>
        </w:pBdr>
        <w:spacing w:before="20" w:after="20" w:line="276" w:lineRule="auto"/>
        <w:rPr>
          <w:rFonts w:ascii="Arial" w:eastAsia="Arial" w:hAnsi="Arial" w:cs="Arial"/>
          <w:color w:val="FF0000"/>
        </w:rPr>
      </w:pPr>
      <w:r w:rsidRPr="00BF04DA">
        <w:rPr>
          <w:rFonts w:ascii="Arial" w:eastAsia="Arial" w:hAnsi="Arial" w:cs="Arial"/>
          <w:color w:val="FF0000"/>
        </w:rPr>
        <w:t>In the case of Veterans Administration (VA) research, have the IRB chair determine within 2 business days whether participants may continue participating in the research interventions or interactions.</w:t>
      </w:r>
    </w:p>
    <w:p w14:paraId="6FBDEFA6" w14:textId="77777777" w:rsidR="00EA5EAE" w:rsidRDefault="003A4249">
      <w:pPr>
        <w:numPr>
          <w:ilvl w:val="1"/>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Communicate with the investigator using HRP-532 - LETTER - Conti Subj Expired Research.</w:t>
      </w:r>
    </w:p>
    <w:p w14:paraId="6FBDEFA7" w14:textId="77777777" w:rsidR="00EA5EAE" w:rsidRDefault="003A4249">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MATERIALS</w:t>
      </w:r>
    </w:p>
    <w:p w14:paraId="6FBDEFA8" w14:textId="77777777" w:rsidR="00EA5EAE" w:rsidRDefault="003A4249">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HRP-532 - LETTER - Conti Subj Expired Research </w:t>
      </w:r>
    </w:p>
    <w:p w14:paraId="6FBDEFA9" w14:textId="77777777" w:rsidR="00EA5EAE" w:rsidRDefault="003A4249">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lastRenderedPageBreak/>
        <w:t>REFERENCES</w:t>
      </w:r>
    </w:p>
    <w:p w14:paraId="6FBDEFAA" w14:textId="77777777" w:rsidR="00EA5EAE" w:rsidRDefault="003A4249">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AAHRPP elements II.2.E-II.2.E.2, II.2.F-II.2.F.3</w:t>
      </w:r>
    </w:p>
    <w:sectPr w:rsidR="00EA5EAE">
      <w:headerReference w:type="default" r:id="rId8"/>
      <w:footerReference w:type="default" r:id="rId9"/>
      <w:headerReference w:type="first" r:id="rId10"/>
      <w:footerReference w:type="first" r:id="rId11"/>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CDA8A" w14:textId="77777777" w:rsidR="006B2927" w:rsidRDefault="006B2927">
      <w:pPr>
        <w:spacing w:after="0" w:line="240" w:lineRule="auto"/>
      </w:pPr>
      <w:r>
        <w:separator/>
      </w:r>
    </w:p>
  </w:endnote>
  <w:endnote w:type="continuationSeparator" w:id="0">
    <w:p w14:paraId="113BD5A3" w14:textId="77777777" w:rsidR="006B2927" w:rsidRDefault="006B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EFAD" w14:textId="483AF160" w:rsidR="00EA5EAE" w:rsidRDefault="003A4249">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6FBDEFAE" w14:textId="77777777" w:rsidR="00EA5EAE" w:rsidRDefault="003A4249">
    <w:pPr>
      <w:pBdr>
        <w:top w:val="nil"/>
        <w:left w:val="nil"/>
        <w:bottom w:val="nil"/>
        <w:right w:val="nil"/>
        <w:between w:val="nil"/>
      </w:pBdr>
      <w:tabs>
        <w:tab w:val="center" w:pos="4680"/>
        <w:tab w:val="right" w:pos="9360"/>
      </w:tabs>
      <w:spacing w:after="0" w:line="240" w:lineRule="auto"/>
      <w:jc w:val="center"/>
      <w:rPr>
        <w:rFonts w:ascii="Montserrat" w:eastAsia="Montserrat" w:hAnsi="Montserrat" w:cs="Montserrat"/>
        <w:b/>
        <w:color w:val="717275"/>
        <w:sz w:val="18"/>
        <w:szCs w:val="18"/>
      </w:rPr>
    </w:pPr>
    <w:r>
      <w:rPr>
        <w:rFonts w:ascii="Montserrat" w:eastAsia="Montserrat" w:hAnsi="Montserrat" w:cs="Montserrat"/>
        <w:b/>
        <w:color w:val="717275"/>
        <w:sz w:val="18"/>
        <w:szCs w:val="18"/>
      </w:rPr>
      <w:t>Huron HRPP Toolkit 5.0</w:t>
    </w:r>
  </w:p>
  <w:p w14:paraId="6FBDEFAF" w14:textId="77777777" w:rsidR="00EA5EAE" w:rsidRDefault="003A4249">
    <w:pPr>
      <w:pBdr>
        <w:top w:val="nil"/>
        <w:left w:val="nil"/>
        <w:bottom w:val="nil"/>
        <w:right w:val="nil"/>
        <w:between w:val="nil"/>
      </w:pBdr>
      <w:tabs>
        <w:tab w:val="center" w:pos="4680"/>
        <w:tab w:val="right" w:pos="9360"/>
      </w:tabs>
      <w:spacing w:after="0" w:line="240" w:lineRule="auto"/>
      <w:jc w:val="center"/>
      <w:rPr>
        <w:rFonts w:ascii="Montserrat" w:eastAsia="Montserrat" w:hAnsi="Montserrat" w:cs="Montserrat"/>
        <w:color w:val="717275"/>
        <w:sz w:val="18"/>
        <w:szCs w:val="18"/>
      </w:rPr>
    </w:pPr>
    <w:r>
      <w:rPr>
        <w:rFonts w:ascii="Montserrat" w:eastAsia="Montserrat" w:hAnsi="Montserrat" w:cs="Montserrat"/>
        <w:color w:val="717275"/>
        <w:sz w:val="18"/>
        <w:szCs w:val="18"/>
      </w:rPr>
      <w:t>© 2009-2022 Huron Consulting Group Inc. and affiliates.</w:t>
    </w:r>
  </w:p>
  <w:p w14:paraId="6FBDEFB0" w14:textId="77777777" w:rsidR="00EA5EAE" w:rsidRDefault="003A4249">
    <w:pPr>
      <w:pBdr>
        <w:top w:val="nil"/>
        <w:left w:val="nil"/>
        <w:bottom w:val="nil"/>
        <w:right w:val="nil"/>
        <w:between w:val="nil"/>
      </w:pBdr>
      <w:tabs>
        <w:tab w:val="center" w:pos="4680"/>
        <w:tab w:val="right" w:pos="9360"/>
      </w:tabs>
      <w:spacing w:after="0" w:line="240" w:lineRule="auto"/>
      <w:jc w:val="center"/>
      <w:rPr>
        <w:color w:val="000000"/>
      </w:rPr>
    </w:pPr>
    <w:r>
      <w:rPr>
        <w:rFonts w:ascii="Montserrat" w:eastAsia="Montserrat" w:hAnsi="Montserrat" w:cs="Montserrat"/>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EFB3" w14:textId="1C5FDAEA" w:rsidR="00EA5EAE" w:rsidRDefault="003A4249">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1</w:t>
    </w:r>
    <w:r>
      <w:rPr>
        <w:b/>
        <w:color w:val="000000"/>
      </w:rPr>
      <w:fldChar w:fldCharType="end"/>
    </w:r>
  </w:p>
  <w:p w14:paraId="6FBDEFB4" w14:textId="77777777" w:rsidR="00EA5EAE" w:rsidRDefault="00EA5EAE">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7AB8F" w14:textId="77777777" w:rsidR="006B2927" w:rsidRDefault="006B2927">
      <w:pPr>
        <w:spacing w:after="0" w:line="240" w:lineRule="auto"/>
      </w:pPr>
      <w:r>
        <w:separator/>
      </w:r>
    </w:p>
  </w:footnote>
  <w:footnote w:type="continuationSeparator" w:id="0">
    <w:p w14:paraId="5158328F" w14:textId="77777777" w:rsidR="006B2927" w:rsidRDefault="006B2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EFAB" w14:textId="77777777" w:rsidR="00EA5EAE" w:rsidRDefault="00EA5EAE">
    <w:pPr>
      <w:pBdr>
        <w:top w:val="nil"/>
        <w:left w:val="nil"/>
        <w:bottom w:val="nil"/>
        <w:right w:val="nil"/>
        <w:between w:val="nil"/>
      </w:pBdr>
      <w:tabs>
        <w:tab w:val="center" w:pos="4680"/>
        <w:tab w:val="right" w:pos="9360"/>
      </w:tabs>
      <w:spacing w:after="0" w:line="240" w:lineRule="auto"/>
      <w:jc w:val="center"/>
      <w:rPr>
        <w:color w:val="000000"/>
      </w:rPr>
    </w:pPr>
  </w:p>
  <w:p w14:paraId="6FBDEFAC" w14:textId="77777777" w:rsidR="00EA5EAE" w:rsidRDefault="00EA5EAE">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EFB1" w14:textId="77777777" w:rsidR="00EA5EAE" w:rsidRDefault="003A4249">
    <w:pPr>
      <w:tabs>
        <w:tab w:val="center" w:pos="4680"/>
        <w:tab w:val="right" w:pos="9360"/>
      </w:tabs>
      <w:spacing w:after="0" w:line="240" w:lineRule="auto"/>
      <w:jc w:val="center"/>
      <w:rPr>
        <w:color w:val="000000"/>
      </w:rPr>
    </w:pPr>
    <w:r>
      <w:rPr>
        <w:noProof/>
      </w:rPr>
      <w:drawing>
        <wp:inline distT="0" distB="0" distL="0" distR="0" wp14:anchorId="6FBDEFB5" wp14:editId="31326C6D">
          <wp:extent cx="3257378" cy="402336"/>
          <wp:effectExtent l="0" t="0" r="0" b="4445"/>
          <wp:docPr id="6"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6"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336"/>
                  </a:xfrm>
                  <a:prstGeom prst="rect">
                    <a:avLst/>
                  </a:prstGeom>
                  <a:ln/>
                </pic:spPr>
              </pic:pic>
            </a:graphicData>
          </a:graphic>
        </wp:inline>
      </w:drawing>
    </w:r>
  </w:p>
  <w:p w14:paraId="6FBDEFB2" w14:textId="77777777" w:rsidR="00EA5EAE" w:rsidRDefault="00EA5EAE">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E295E"/>
    <w:multiLevelType w:val="multilevel"/>
    <w:tmpl w:val="6776B436"/>
    <w:lvl w:ilvl="0">
      <w:start w:val="1"/>
      <w:numFmt w:val="decimal"/>
      <w:pStyle w:val="SOPLevel1"/>
      <w:lvlText w:val="%1."/>
      <w:lvlJc w:val="left"/>
      <w:pPr>
        <w:tabs>
          <w:tab w:val="num" w:pos="720"/>
        </w:tabs>
        <w:ind w:left="720" w:hanging="720"/>
      </w:pPr>
    </w:lvl>
    <w:lvl w:ilvl="1">
      <w:start w:val="1"/>
      <w:numFmt w:val="decimal"/>
      <w:pStyle w:val="SOPLevel2"/>
      <w:lvlText w:val="%2."/>
      <w:lvlJc w:val="left"/>
      <w:pPr>
        <w:tabs>
          <w:tab w:val="num" w:pos="1440"/>
        </w:tabs>
        <w:ind w:left="1440" w:hanging="720"/>
      </w:pPr>
    </w:lvl>
    <w:lvl w:ilvl="2">
      <w:start w:val="1"/>
      <w:numFmt w:val="decimal"/>
      <w:pStyle w:val="SOPLevel3"/>
      <w:lvlText w:val="%3."/>
      <w:lvlJc w:val="left"/>
      <w:pPr>
        <w:tabs>
          <w:tab w:val="num" w:pos="2160"/>
        </w:tabs>
        <w:ind w:left="2160" w:hanging="720"/>
      </w:pPr>
    </w:lvl>
    <w:lvl w:ilvl="3">
      <w:start w:val="1"/>
      <w:numFmt w:val="decimal"/>
      <w:pStyle w:val="SOPLevel4"/>
      <w:lvlText w:val="%4."/>
      <w:lvlJc w:val="left"/>
      <w:pPr>
        <w:tabs>
          <w:tab w:val="num" w:pos="2880"/>
        </w:tabs>
        <w:ind w:left="2880" w:hanging="720"/>
      </w:pPr>
    </w:lvl>
    <w:lvl w:ilvl="4">
      <w:start w:val="1"/>
      <w:numFmt w:val="decimal"/>
      <w:pStyle w:val="SOPLevel5"/>
      <w:lvlText w:val="%5."/>
      <w:lvlJc w:val="left"/>
      <w:pPr>
        <w:tabs>
          <w:tab w:val="num" w:pos="3600"/>
        </w:tabs>
        <w:ind w:left="3600" w:hanging="720"/>
      </w:pPr>
    </w:lvl>
    <w:lvl w:ilvl="5">
      <w:start w:val="1"/>
      <w:numFmt w:val="decimal"/>
      <w:pStyle w:val="SOPLeve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49B49EB"/>
    <w:multiLevelType w:val="multilevel"/>
    <w:tmpl w:val="911A3A52"/>
    <w:lvl w:ilvl="0">
      <w:start w:val="1"/>
      <w:numFmt w:val="decimal"/>
      <w:lvlText w:val="%1"/>
      <w:lvlJc w:val="left"/>
      <w:pPr>
        <w:ind w:left="360" w:hanging="360"/>
      </w:pPr>
    </w:lvl>
    <w:lvl w:ilvl="1">
      <w:start w:val="1"/>
      <w:numFmt w:val="decimal"/>
      <w:lvlText w:val="%1.%2"/>
      <w:lvlJc w:val="left"/>
      <w:pPr>
        <w:ind w:left="576" w:hanging="216"/>
      </w:pPr>
      <w:rPr>
        <w:b w:val="0"/>
        <w:i w:val="0"/>
        <w:color w:val="000000" w:themeColor="text1"/>
        <w:sz w:val="22"/>
        <w:szCs w:val="22"/>
      </w:rPr>
    </w:lvl>
    <w:lvl w:ilvl="2">
      <w:start w:val="1"/>
      <w:numFmt w:val="decimal"/>
      <w:lvlText w:val="%1.%2.%3"/>
      <w:lvlJc w:val="left"/>
      <w:pPr>
        <w:ind w:left="1206" w:firstLine="144"/>
      </w:pPr>
      <w:rPr>
        <w:b w:val="0"/>
        <w:i w:val="0"/>
        <w:sz w:val="22"/>
        <w:szCs w:val="22"/>
      </w:rPr>
    </w:lvl>
    <w:lvl w:ilvl="3">
      <w:start w:val="1"/>
      <w:numFmt w:val="decimal"/>
      <w:lvlText w:val="%1.%2.%3.%4"/>
      <w:lvlJc w:val="left"/>
      <w:pPr>
        <w:ind w:left="1008" w:firstLine="720"/>
      </w:pPr>
      <w:rPr>
        <w:b w:val="0"/>
        <w:i w:val="0"/>
        <w:strike w:val="0"/>
        <w:sz w:val="22"/>
        <w:szCs w:val="22"/>
        <w:vertAlign w:val="baseline"/>
      </w:rPr>
    </w:lvl>
    <w:lvl w:ilvl="4">
      <w:start w:val="1"/>
      <w:numFmt w:val="decimal"/>
      <w:lvlText w:val="%1.%2.%3.%4.%5"/>
      <w:lvlJc w:val="left"/>
      <w:pPr>
        <w:ind w:left="1224" w:firstLine="1512"/>
      </w:pPr>
    </w:lvl>
    <w:lvl w:ilvl="5">
      <w:start w:val="1"/>
      <w:numFmt w:val="decimal"/>
      <w:lvlText w:val="%1.%2.%3.%4.%5.%6"/>
      <w:lvlJc w:val="left"/>
      <w:pPr>
        <w:ind w:left="1440" w:firstLine="2520"/>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264261663">
    <w:abstractNumId w:val="1"/>
  </w:num>
  <w:num w:numId="2" w16cid:durableId="2026979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EAE"/>
    <w:rsid w:val="003A4249"/>
    <w:rsid w:val="003F17FE"/>
    <w:rsid w:val="004A614E"/>
    <w:rsid w:val="006B2927"/>
    <w:rsid w:val="00950D71"/>
    <w:rsid w:val="00AB4B02"/>
    <w:rsid w:val="00BF04DA"/>
    <w:rsid w:val="00EA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EF8D"/>
  <w15:docId w15:val="{9FBA2BB4-E5B7-4797-92C0-5399857B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paragraph" w:customStyle="1" w:styleId="SOPLevel1">
    <w:name w:val="SOP Level 1"/>
    <w:basedOn w:val="Normal"/>
    <w:pPr>
      <w:numPr>
        <w:numId w:val="2"/>
      </w:numPr>
      <w:spacing w:before="40" w:after="40" w:line="240" w:lineRule="auto"/>
    </w:pPr>
    <w:rPr>
      <w:rFonts w:ascii="Arial" w:eastAsia="Times New Roman" w:hAnsi="Arial" w:cs="Tahoma"/>
      <w:b/>
      <w:sz w:val="20"/>
      <w:szCs w:val="24"/>
    </w:rPr>
  </w:style>
  <w:style w:type="paragraph" w:customStyle="1" w:styleId="SOPLevel2">
    <w:name w:val="SOP Level 2"/>
    <w:basedOn w:val="SOPLevel1"/>
    <w:pPr>
      <w:numPr>
        <w:ilvl w:val="1"/>
      </w:numPr>
      <w:spacing w:before="20" w:after="20"/>
      <w:ind w:left="936" w:hanging="576"/>
    </w:pPr>
    <w:rPr>
      <w:b w:val="0"/>
    </w:rPr>
  </w:style>
  <w:style w:type="paragraph" w:customStyle="1" w:styleId="SOPLevel3">
    <w:name w:val="SOP Level 3"/>
    <w:basedOn w:val="SOPLevel2"/>
    <w:pPr>
      <w:numPr>
        <w:ilvl w:val="2"/>
      </w:numPr>
      <w:tabs>
        <w:tab w:val="clear" w:pos="2160"/>
        <w:tab w:val="num" w:pos="1728"/>
      </w:tabs>
      <w:ind w:left="1728" w:hanging="792"/>
    </w:pPr>
  </w:style>
  <w:style w:type="paragraph" w:customStyle="1" w:styleId="SOPLevel4">
    <w:name w:val="SOP Level 4"/>
    <w:basedOn w:val="SOPLevel3"/>
    <w:pPr>
      <w:numPr>
        <w:ilvl w:val="3"/>
      </w:numPr>
      <w:ind w:left="2736" w:hanging="1008"/>
    </w:pPr>
  </w:style>
  <w:style w:type="paragraph" w:customStyle="1" w:styleId="SOPLevel5">
    <w:name w:val="SOP Level 5"/>
    <w:basedOn w:val="SOPLevel4"/>
    <w:pPr>
      <w:numPr>
        <w:ilvl w:val="4"/>
      </w:numPr>
      <w:ind w:left="3960" w:hanging="1224"/>
    </w:pPr>
  </w:style>
  <w:style w:type="paragraph" w:customStyle="1" w:styleId="SOPLevel6">
    <w:name w:val="SOP Level 6"/>
    <w:basedOn w:val="SOPLevel5"/>
    <w:pPr>
      <w:numPr>
        <w:ilvl w:val="5"/>
      </w:numPr>
      <w:ind w:left="5400" w:hanging="1440"/>
    </w:pPr>
  </w:style>
  <w:style w:type="character" w:styleId="PlaceholderText">
    <w:name w:val="Placeholder Text"/>
    <w:basedOn w:val="DefaultParagraphFont"/>
    <w:uiPriority w:val="99"/>
    <w:semiHidden/>
    <w:rPr>
      <w:color w:val="808080"/>
    </w:rPr>
  </w:style>
  <w:style w:type="character" w:styleId="Mention">
    <w:name w:val="Mention"/>
    <w:basedOn w:val="DefaultParagraphFont"/>
    <w:uiPriority w:val="99"/>
    <w:unhideWhenUsed/>
    <w:rPr>
      <w:color w:val="2B579A"/>
      <w:shd w:val="clear" w:color="auto" w:fill="E1DFDD"/>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iIt0dDUlE98lHLZDU9RFvih7Mw==">CgMxLjA4AGonChRzdWdnZXN0LnF6bW5qb25oMmc3YhIPTWFkZWxlbmEgRWlmZXJ0ciExdy1uaE1Ed1lWNjNYOVZRZUZzSTdydU5EQlRDR2Z1TU8=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2024-03-26T17:05:00Z</dcterms:created>
  <dcterms:modified xsi:type="dcterms:W3CDTF">2024-03-26T17:05:00Z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