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E3577" w14:textId="77777777" w:rsidR="008477FE" w:rsidRDefault="008477FE">
      <w:pPr>
        <w:pBdr>
          <w:top w:val="nil"/>
          <w:left w:val="nil"/>
          <w:bottom w:val="nil"/>
          <w:right w:val="nil"/>
          <w:between w:val="nil"/>
        </w:pBdr>
        <w:spacing w:after="120" w:line="276" w:lineRule="auto"/>
        <w:jc w:val="center"/>
        <w:rPr>
          <w:rFonts w:ascii="Arial" w:eastAsia="Arial" w:hAnsi="Arial" w:cs="Arial"/>
          <w:color w:val="000000"/>
        </w:rPr>
      </w:pPr>
    </w:p>
    <w:p w14:paraId="1DB5DB9E" w14:textId="60556B60" w:rsidR="00CC2D37" w:rsidRDefault="00A704F8">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HRP- 834 |</w:t>
      </w:r>
      <w:r w:rsidR="00DD7C2B">
        <w:rPr>
          <w:rFonts w:ascii="Arial" w:eastAsia="Arial" w:hAnsi="Arial" w:cs="Arial"/>
          <w:color w:val="000000"/>
        </w:rPr>
        <w:t xml:space="preserve"> </w:t>
      </w:r>
      <w:r w:rsidR="00DD7C2B" w:rsidRPr="002D5C28">
        <w:rPr>
          <w:rFonts w:ascii="Arial" w:eastAsia="Arial" w:hAnsi="Arial" w:cs="Arial"/>
          <w:szCs w:val="24"/>
        </w:rPr>
        <w:t>08/07/2025</w:t>
      </w:r>
    </w:p>
    <w:p w14:paraId="64B6F784" w14:textId="77777777" w:rsidR="00CC2D37" w:rsidRDefault="00CC2D37" w:rsidP="000E564E">
      <w:pPr>
        <w:pBdr>
          <w:top w:val="nil"/>
          <w:left w:val="nil"/>
          <w:bottom w:val="nil"/>
          <w:right w:val="nil"/>
          <w:between w:val="nil"/>
        </w:pBdr>
        <w:tabs>
          <w:tab w:val="left" w:pos="1170"/>
        </w:tabs>
        <w:spacing w:line="240" w:lineRule="auto"/>
        <w:rPr>
          <w:rFonts w:ascii="Arial" w:eastAsia="Arial" w:hAnsi="Arial" w:cs="Arial"/>
          <w:b/>
          <w:color w:val="000000"/>
          <w:sz w:val="24"/>
          <w:szCs w:val="24"/>
        </w:rPr>
      </w:pPr>
    </w:p>
    <w:p w14:paraId="5A4268DB" w14:textId="77777777" w:rsidR="00CC2D37" w:rsidRDefault="00A704F8">
      <w:pPr>
        <w:pBdr>
          <w:top w:val="nil"/>
          <w:left w:val="nil"/>
          <w:bottom w:val="nil"/>
          <w:right w:val="nil"/>
          <w:between w:val="nil"/>
        </w:pBdr>
        <w:spacing w:line="240" w:lineRule="auto"/>
        <w:jc w:val="center"/>
        <w:rPr>
          <w:rFonts w:ascii="Arial" w:eastAsia="Arial" w:hAnsi="Arial" w:cs="Arial"/>
          <w:b/>
          <w:color w:val="000000"/>
          <w:sz w:val="32"/>
          <w:szCs w:val="32"/>
        </w:rPr>
      </w:pPr>
      <w:r>
        <w:rPr>
          <w:rFonts w:ascii="Arial" w:eastAsia="Arial" w:hAnsi="Arial" w:cs="Arial"/>
          <w:b/>
          <w:color w:val="000000"/>
          <w:sz w:val="32"/>
          <w:szCs w:val="32"/>
        </w:rPr>
        <w:t>WORKSHEET: Institutional Requirements for Relying on External IRB</w:t>
      </w:r>
    </w:p>
    <w:p w14:paraId="40BD7499" w14:textId="77777777" w:rsidR="00CC2D37" w:rsidRDefault="00A704F8">
      <w:p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The purpose of this worksheet is to provide support for IRB Staff (Reliance Coordinator) screening requests to rely on an external IRB.</w:t>
      </w:r>
    </w:p>
    <w:p w14:paraId="3F2EDFA8" w14:textId="77777777" w:rsidR="00CC2D37" w:rsidRDefault="00A704F8">
      <w:pPr>
        <w:pBdr>
          <w:top w:val="single" w:sz="4" w:space="1" w:color="AEAAAA"/>
          <w:left w:val="single" w:sz="4" w:space="4" w:color="AEAAAA"/>
          <w:bottom w:val="single" w:sz="4" w:space="1" w:color="AEAAAA"/>
          <w:right w:val="single" w:sz="4" w:space="4" w:color="AEAAAA"/>
          <w:between w:val="nil"/>
        </w:pBdr>
        <w:shd w:val="clear" w:color="auto" w:fill="DFDFDF"/>
        <w:spacing w:line="240" w:lineRule="auto"/>
        <w:rPr>
          <w:rFonts w:ascii="Arial" w:eastAsia="Arial" w:hAnsi="Arial" w:cs="Arial"/>
          <w:b/>
          <w:color w:val="000000"/>
          <w:sz w:val="24"/>
          <w:szCs w:val="24"/>
        </w:rPr>
      </w:pPr>
      <w:r>
        <w:rPr>
          <w:rFonts w:ascii="Arial" w:eastAsia="Arial" w:hAnsi="Arial" w:cs="Arial"/>
          <w:b/>
          <w:color w:val="000000"/>
          <w:sz w:val="24"/>
          <w:szCs w:val="24"/>
        </w:rPr>
        <w:t>Personnel Requirements</w:t>
      </w:r>
    </w:p>
    <w:p w14:paraId="04471437" w14:textId="77777777"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10"/>
          <w:id w:val="-388189758"/>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Confirm the principal investigator (PI) meets PI eligibility requirements. </w:t>
      </w:r>
    </w:p>
    <w:bookmarkStart w:id="0" w:name="_heading=h.3znysh7" w:colFirst="0" w:colLast="0"/>
    <w:bookmarkEnd w:id="0"/>
    <w:p w14:paraId="35DF2FD6" w14:textId="77777777" w:rsidR="00CC2D37" w:rsidRDefault="002C26DB">
      <w:pPr>
        <w:pBdr>
          <w:top w:val="nil"/>
          <w:left w:val="nil"/>
          <w:bottom w:val="nil"/>
          <w:right w:val="nil"/>
          <w:between w:val="nil"/>
        </w:pBdr>
        <w:spacing w:after="120" w:line="324" w:lineRule="auto"/>
        <w:rPr>
          <w:rFonts w:ascii="Arial" w:eastAsia="Arial" w:hAnsi="Arial" w:cs="Arial"/>
          <w:color w:val="000000"/>
        </w:rPr>
      </w:pPr>
      <w:sdt>
        <w:sdtPr>
          <w:tag w:val="goog_rdk_11"/>
          <w:id w:val="-892040797"/>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Determine whether the principal investigator has any lapsed studies. </w:t>
      </w:r>
    </w:p>
    <w:p w14:paraId="4E3B04E0" w14:textId="77777777" w:rsidR="00CC2D37" w:rsidRDefault="002C26DB">
      <w:pPr>
        <w:spacing w:after="120" w:line="240" w:lineRule="auto"/>
        <w:rPr>
          <w:rFonts w:ascii="Times New Roman" w:eastAsia="Times New Roman" w:hAnsi="Times New Roman" w:cs="Times New Roman"/>
          <w:sz w:val="24"/>
          <w:szCs w:val="24"/>
        </w:rPr>
      </w:pPr>
      <w:sdt>
        <w:sdtPr>
          <w:tag w:val="goog_rdk_12"/>
          <w:id w:val="-1608735017"/>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Confirm the Principal Investigator (and Medically or Psychologically Responsible Investigator, and Lead Student/Trainee Investigator, if applicable) have completed the required CITI training by uploading their training completion certificate with the IRB submission. The PI is responsible for ensuring all other study staff have current CITI training. </w:t>
      </w:r>
    </w:p>
    <w:bookmarkStart w:id="1" w:name="_GoBack"/>
    <w:p w14:paraId="4936E0F0" w14:textId="77777777" w:rsidR="00CC2D37" w:rsidRDefault="002C26DB">
      <w:pPr>
        <w:spacing w:after="120" w:line="240" w:lineRule="auto"/>
        <w:rPr>
          <w:rFonts w:ascii="Times New Roman" w:eastAsia="Times New Roman" w:hAnsi="Times New Roman" w:cs="Times New Roman"/>
          <w:sz w:val="24"/>
          <w:szCs w:val="24"/>
        </w:rPr>
      </w:pPr>
      <w:sdt>
        <w:sdtPr>
          <w:tag w:val="goog_rdk_14"/>
          <w:id w:val="-520007827"/>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If the research involves FDA oversight, confirm the principal investigator is not listed on the </w:t>
      </w:r>
      <w:sdt>
        <w:sdtPr>
          <w:tag w:val="goog_rdk_13"/>
          <w:id w:val="1645314588"/>
        </w:sdtPr>
        <w:sdtEndPr/>
        <w:sdtContent>
          <w:hyperlink r:id="rId7" w:history="1">
            <w:r w:rsidR="00A704F8">
              <w:rPr>
                <w:rFonts w:ascii="Arial" w:eastAsia="Arial" w:hAnsi="Arial" w:cs="Arial"/>
                <w:color w:val="0563C1"/>
                <w:u w:val="single"/>
              </w:rPr>
              <w:t>FDA debarment list</w:t>
            </w:r>
          </w:hyperlink>
          <w:bookmarkEnd w:id="1"/>
        </w:sdtContent>
      </w:sdt>
      <w:r w:rsidR="00A704F8">
        <w:rPr>
          <w:rFonts w:ascii="Arial" w:eastAsia="Arial" w:hAnsi="Arial" w:cs="Arial"/>
          <w:color w:val="000000"/>
        </w:rPr>
        <w:t>.  </w:t>
      </w:r>
    </w:p>
    <w:bookmarkStart w:id="2" w:name="_heading=h.gjdgxs" w:colFirst="0" w:colLast="0"/>
    <w:bookmarkEnd w:id="2"/>
    <w:p w14:paraId="59602FAD" w14:textId="77777777"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15"/>
          <w:id w:val="-695935728"/>
        </w:sdtPr>
        <w:sdtEndPr/>
        <w:sdtContent>
          <w:r w:rsidR="00A704F8">
            <w:rPr>
              <w:rFonts w:ascii="Arial Unicode MS" w:eastAsia="Arial Unicode MS" w:hAnsi="Arial Unicode MS" w:cs="Arial Unicode MS"/>
              <w:color w:val="000000"/>
            </w:rPr>
            <w:t xml:space="preserve">☐ </w:t>
          </w:r>
        </w:sdtContent>
      </w:sdt>
      <w:r w:rsidR="00A704F8">
        <w:rPr>
          <w:rFonts w:ascii="Arial" w:eastAsia="Arial" w:hAnsi="Arial" w:cs="Arial"/>
          <w:color w:val="000000"/>
        </w:rPr>
        <w:t>If the research involves clinical activities, confirm privileges of staff conducting clinical activities.</w:t>
      </w:r>
    </w:p>
    <w:p w14:paraId="5A11ED8B" w14:textId="31D968F2" w:rsidR="00CC2D37" w:rsidRDefault="002C26DB">
      <w:pPr>
        <w:pBdr>
          <w:top w:val="nil"/>
          <w:left w:val="nil"/>
          <w:bottom w:val="nil"/>
          <w:right w:val="nil"/>
          <w:between w:val="nil"/>
        </w:pBdr>
        <w:spacing w:after="120" w:line="324" w:lineRule="auto"/>
        <w:ind w:left="288" w:hanging="288"/>
        <w:rPr>
          <w:rFonts w:ascii="Arial" w:eastAsia="Arial" w:hAnsi="Arial" w:cs="Arial"/>
          <w:b/>
          <w:color w:val="000000"/>
        </w:rPr>
      </w:pPr>
      <w:sdt>
        <w:sdtPr>
          <w:tag w:val="goog_rdk_16"/>
          <w:id w:val="690646974"/>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Confirm all COI Investigators have completed/updated FIRs within the last update period. Conflict of Interest management plan is in place when applicable and will be provided to IRB of Record.</w:t>
      </w:r>
    </w:p>
    <w:p w14:paraId="7CD2C456" w14:textId="77777777" w:rsidR="00CC2D37" w:rsidRDefault="00A704F8">
      <w:pPr>
        <w:pBdr>
          <w:top w:val="single" w:sz="4" w:space="1" w:color="AEAAAA"/>
          <w:left w:val="single" w:sz="4" w:space="4" w:color="AEAAAA"/>
          <w:bottom w:val="single" w:sz="4" w:space="1" w:color="AEAAAA"/>
          <w:right w:val="single" w:sz="4" w:space="4" w:color="AEAAAA"/>
          <w:between w:val="nil"/>
        </w:pBdr>
        <w:shd w:val="clear" w:color="auto" w:fill="DFDFDF"/>
        <w:spacing w:line="240" w:lineRule="auto"/>
        <w:rPr>
          <w:rFonts w:ascii="Arial" w:eastAsia="Arial" w:hAnsi="Arial" w:cs="Arial"/>
          <w:b/>
          <w:color w:val="000000"/>
          <w:sz w:val="24"/>
          <w:szCs w:val="24"/>
        </w:rPr>
      </w:pPr>
      <w:r>
        <w:rPr>
          <w:rFonts w:ascii="Arial" w:eastAsia="Arial" w:hAnsi="Arial" w:cs="Arial"/>
          <w:b/>
          <w:color w:val="000000"/>
          <w:sz w:val="24"/>
          <w:szCs w:val="24"/>
        </w:rPr>
        <w:t>Consent Documents (Institutional Language)</w:t>
      </w:r>
    </w:p>
    <w:p w14:paraId="3CC30516" w14:textId="77777777" w:rsidR="00CC2D37" w:rsidRDefault="00A704F8">
      <w:pPr>
        <w:pBdr>
          <w:top w:val="nil"/>
          <w:left w:val="nil"/>
          <w:bottom w:val="nil"/>
          <w:right w:val="nil"/>
          <w:between w:val="nil"/>
        </w:pBdr>
        <w:spacing w:after="120" w:line="324" w:lineRule="auto"/>
        <w:ind w:left="288" w:hanging="288"/>
        <w:rPr>
          <w:rFonts w:ascii="Arial" w:eastAsia="Arial" w:hAnsi="Arial" w:cs="Arial"/>
          <w:b/>
          <w:color w:val="000000"/>
          <w:sz w:val="24"/>
          <w:szCs w:val="24"/>
        </w:rPr>
      </w:pPr>
      <w:r>
        <w:rPr>
          <w:rFonts w:ascii="Arial" w:eastAsia="Arial" w:hAnsi="Arial" w:cs="Arial"/>
          <w:b/>
          <w:color w:val="000000"/>
          <w:sz w:val="24"/>
          <w:szCs w:val="24"/>
        </w:rPr>
        <w:t xml:space="preserve">Written consent to be used at this institution includes institutionally required language where applicable. </w:t>
      </w:r>
    </w:p>
    <w:p w14:paraId="20A701EC" w14:textId="08641256" w:rsidR="00CC2D37" w:rsidRDefault="00A704F8">
      <w:pPr>
        <w:pBdr>
          <w:top w:val="nil"/>
          <w:left w:val="nil"/>
          <w:bottom w:val="nil"/>
          <w:right w:val="nil"/>
          <w:between w:val="nil"/>
        </w:pBdr>
        <w:spacing w:after="120" w:line="324" w:lineRule="auto"/>
        <w:ind w:left="288" w:hanging="288"/>
        <w:rPr>
          <w:rFonts w:ascii="Arial" w:eastAsia="Arial" w:hAnsi="Arial" w:cs="Arial"/>
          <w:color w:val="000000"/>
        </w:rPr>
      </w:pPr>
      <w:bookmarkStart w:id="3" w:name="_heading=h.30j0zll" w:colFirst="0" w:colLast="0"/>
      <w:bookmarkEnd w:id="3"/>
      <w:r>
        <w:rPr>
          <w:rFonts w:ascii="Arial" w:eastAsia="Arial" w:hAnsi="Arial" w:cs="Arial"/>
          <w:color w:val="000000"/>
        </w:rPr>
        <w:t>See HRP-502</w:t>
      </w:r>
      <w:r w:rsidR="00A41D99">
        <w:rPr>
          <w:rFonts w:ascii="Arial" w:eastAsia="Arial" w:hAnsi="Arial" w:cs="Arial"/>
          <w:color w:val="000000"/>
        </w:rPr>
        <w:t xml:space="preserve"> </w:t>
      </w:r>
      <w:r>
        <w:rPr>
          <w:rFonts w:ascii="Arial" w:eastAsia="Arial" w:hAnsi="Arial" w:cs="Arial"/>
          <w:color w:val="000000"/>
        </w:rPr>
        <w:t>- TEMPLATE Consent Document for VCU template language where needed (e.g., key information section and other required Common Rule regulatory language</w:t>
      </w:r>
      <w:r w:rsidR="002C1C3A">
        <w:rPr>
          <w:rFonts w:ascii="Arial" w:eastAsia="Arial" w:hAnsi="Arial" w:cs="Arial"/>
          <w:color w:val="000000"/>
        </w:rPr>
        <w:t xml:space="preserve"> outlined in HRP-314a - WORKSHEET - Criteria for Consent</w:t>
      </w:r>
      <w:r>
        <w:rPr>
          <w:rFonts w:ascii="Arial" w:eastAsia="Arial" w:hAnsi="Arial" w:cs="Arial"/>
          <w:color w:val="000000"/>
        </w:rPr>
        <w:t>).</w:t>
      </w:r>
    </w:p>
    <w:p w14:paraId="420187E9" w14:textId="77777777" w:rsidR="00CC2D37" w:rsidRDefault="002C26DB">
      <w:pPr>
        <w:pBdr>
          <w:top w:val="nil"/>
          <w:left w:val="nil"/>
          <w:bottom w:val="nil"/>
          <w:right w:val="nil"/>
          <w:between w:val="nil"/>
        </w:pBdr>
        <w:tabs>
          <w:tab w:val="right" w:pos="10800"/>
        </w:tabs>
        <w:spacing w:after="120" w:line="324" w:lineRule="auto"/>
        <w:ind w:left="288" w:hanging="288"/>
        <w:rPr>
          <w:rFonts w:ascii="Arial" w:eastAsia="Arial" w:hAnsi="Arial" w:cs="Arial"/>
          <w:color w:val="000000"/>
        </w:rPr>
      </w:pPr>
      <w:sdt>
        <w:sdtPr>
          <w:tag w:val="goog_rdk_17"/>
          <w:id w:val="816920454"/>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Local contact information is included.</w:t>
      </w:r>
      <w:r w:rsidR="00A704F8">
        <w:rPr>
          <w:rFonts w:ascii="Arial" w:eastAsia="Arial" w:hAnsi="Arial" w:cs="Arial"/>
          <w:color w:val="000000"/>
        </w:rPr>
        <w:tab/>
      </w:r>
    </w:p>
    <w:p w14:paraId="4FC7D2EE" w14:textId="77777777"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18"/>
          <w:id w:val="1418604004"/>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For research involving greater than minimal risk, compensation for injury language (subject injury language) that is either VCU template language or approved by OSP or NCI CIRB boilerplate is present.  </w:t>
      </w:r>
    </w:p>
    <w:p w14:paraId="3FF3D3C5" w14:textId="77777777"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19"/>
          <w:id w:val="-1000114824"/>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For research where investigator could discover suspected child/elder abuse or a subject’s intention to injure themselves or others, mandatory reporting language is present.</w:t>
      </w:r>
    </w:p>
    <w:p w14:paraId="08100835" w14:textId="77777777"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20"/>
          <w:id w:val="-921405147"/>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For research where investigator could discover a previously unknown condition that must be reported to the Health Department (e.g., Hepatitis, HIV, STDs), mandatory reporting language is present.</w:t>
      </w:r>
    </w:p>
    <w:bookmarkStart w:id="4" w:name="_heading=h.1fob9te" w:colFirst="0" w:colLast="0"/>
    <w:bookmarkEnd w:id="4"/>
    <w:p w14:paraId="6A179259" w14:textId="77777777"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21"/>
          <w:id w:val="-461417737"/>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For research where compensation is provided, collection of social security numbers for payment purposes is present (must be VCU template language where payment is directly from VCU and not sponsor).</w:t>
      </w:r>
    </w:p>
    <w:p w14:paraId="255649E8" w14:textId="77777777"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22"/>
          <w:id w:val="678702372"/>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For research where VCU is responsible for contributing data to an NIH genomic data repository, disclosure of that sharing is present.</w:t>
      </w:r>
    </w:p>
    <w:p w14:paraId="7A5E207F" w14:textId="77777777" w:rsidR="00CC2D37" w:rsidRDefault="00A704F8">
      <w:pPr>
        <w:pBdr>
          <w:top w:val="single" w:sz="4" w:space="1" w:color="AEAAAA"/>
          <w:left w:val="single" w:sz="4" w:space="4" w:color="AEAAAA"/>
          <w:bottom w:val="single" w:sz="4" w:space="1" w:color="AEAAAA"/>
          <w:right w:val="single" w:sz="4" w:space="4" w:color="AEAAAA"/>
          <w:between w:val="nil"/>
        </w:pBdr>
        <w:shd w:val="clear" w:color="auto" w:fill="DFDFDF"/>
        <w:spacing w:line="240" w:lineRule="auto"/>
        <w:rPr>
          <w:rFonts w:ascii="Arial" w:eastAsia="Arial" w:hAnsi="Arial" w:cs="Arial"/>
          <w:b/>
          <w:color w:val="000000"/>
          <w:sz w:val="24"/>
          <w:szCs w:val="24"/>
        </w:rPr>
      </w:pPr>
      <w:r>
        <w:rPr>
          <w:rFonts w:ascii="Arial" w:eastAsia="Arial" w:hAnsi="Arial" w:cs="Arial"/>
          <w:b/>
          <w:color w:val="000000"/>
          <w:sz w:val="24"/>
          <w:szCs w:val="24"/>
        </w:rPr>
        <w:t>HIPAA Authorization</w:t>
      </w:r>
    </w:p>
    <w:p w14:paraId="08119277" w14:textId="4AA0D285"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23"/>
          <w:id w:val="406194752"/>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NA (Study does not use or disclose protected health information (PHI) or study team is outside of the health care component</w:t>
      </w:r>
      <w:r w:rsidR="00CF0349">
        <w:rPr>
          <w:rFonts w:ascii="Arial" w:eastAsia="Arial" w:hAnsi="Arial" w:cs="Arial"/>
          <w:color w:val="000000"/>
        </w:rPr>
        <w:t>.</w:t>
      </w:r>
      <w:r w:rsidR="00A704F8">
        <w:rPr>
          <w:rFonts w:ascii="Arial" w:eastAsia="Arial" w:hAnsi="Arial" w:cs="Arial"/>
          <w:color w:val="000000"/>
        </w:rPr>
        <w:t xml:space="preserve">) </w:t>
      </w:r>
    </w:p>
    <w:p w14:paraId="252C891E" w14:textId="77777777"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24"/>
          <w:id w:val="-2142952794"/>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Study activities are limited to a request for a waiver of authorization or use of limited data set.</w:t>
      </w:r>
    </w:p>
    <w:p w14:paraId="38950BFB" w14:textId="3C60F453"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25"/>
          <w:id w:val="-2104331250"/>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Written authorization will be obtained for activities at VCU and all required elements are present. See HRP- 330 - WORKSHEET </w:t>
      </w:r>
      <w:r w:rsidR="00A41D99">
        <w:rPr>
          <w:rFonts w:ascii="Arial" w:eastAsia="Arial" w:hAnsi="Arial" w:cs="Arial"/>
          <w:color w:val="000000"/>
        </w:rPr>
        <w:t xml:space="preserve">- </w:t>
      </w:r>
      <w:r w:rsidR="00A704F8">
        <w:rPr>
          <w:rFonts w:ascii="Arial" w:eastAsia="Arial" w:hAnsi="Arial" w:cs="Arial"/>
          <w:color w:val="000000"/>
        </w:rPr>
        <w:t>HIPAA Authorization.</w:t>
      </w:r>
    </w:p>
    <w:p w14:paraId="48F96BFB" w14:textId="77777777" w:rsidR="00CC2D37" w:rsidRDefault="00A704F8">
      <w:pPr>
        <w:pBdr>
          <w:top w:val="single" w:sz="4" w:space="1" w:color="AEAAAA"/>
          <w:left w:val="single" w:sz="4" w:space="4" w:color="AEAAAA"/>
          <w:bottom w:val="single" w:sz="4" w:space="1" w:color="AEAAAA"/>
          <w:right w:val="single" w:sz="4" w:space="4" w:color="AEAAAA"/>
          <w:between w:val="nil"/>
        </w:pBdr>
        <w:shd w:val="clear" w:color="auto" w:fill="DFDFDF"/>
        <w:spacing w:line="240" w:lineRule="auto"/>
        <w:rPr>
          <w:rFonts w:ascii="Arial" w:eastAsia="Arial" w:hAnsi="Arial" w:cs="Arial"/>
          <w:b/>
          <w:color w:val="000000"/>
          <w:sz w:val="24"/>
          <w:szCs w:val="24"/>
        </w:rPr>
      </w:pPr>
      <w:r>
        <w:rPr>
          <w:rFonts w:ascii="Arial" w:eastAsia="Arial" w:hAnsi="Arial" w:cs="Arial"/>
          <w:b/>
          <w:color w:val="000000"/>
          <w:sz w:val="24"/>
          <w:szCs w:val="24"/>
        </w:rPr>
        <w:t>Privacy Board (HIPAA Waivers)</w:t>
      </w:r>
    </w:p>
    <w:p w14:paraId="23B0672F" w14:textId="77777777"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26"/>
          <w:id w:val="-1862653301"/>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VCU is not serving as Privacy Board, or HIPAA is not applicable to this study.</w:t>
      </w:r>
    </w:p>
    <w:p w14:paraId="4173383C" w14:textId="3EFA00CC"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27"/>
          <w:id w:val="1435013729"/>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The external IRB is serving as the Privacy Board (as documented in the reliance agreement or HRP- 830- WORKSHEET </w:t>
      </w:r>
      <w:r w:rsidR="00A41D99">
        <w:rPr>
          <w:rFonts w:ascii="Arial" w:eastAsia="Arial" w:hAnsi="Arial" w:cs="Arial"/>
          <w:color w:val="000000"/>
        </w:rPr>
        <w:t xml:space="preserve">- </w:t>
      </w:r>
      <w:r w:rsidR="00A704F8">
        <w:rPr>
          <w:rFonts w:ascii="Arial" w:eastAsia="Arial" w:hAnsi="Arial" w:cs="Arial"/>
          <w:color w:val="000000"/>
        </w:rPr>
        <w:t>Communication and Responsibilities).</w:t>
      </w:r>
    </w:p>
    <w:p w14:paraId="7C413E8B" w14:textId="593FF6F8"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28"/>
          <w:id w:val="-459812698"/>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VCU is serving as the Privacy Board (as documented in the reliance agreement or HRP- 830</w:t>
      </w:r>
      <w:r w:rsidR="0070416D">
        <w:rPr>
          <w:rFonts w:ascii="Arial" w:eastAsia="Arial" w:hAnsi="Arial" w:cs="Arial"/>
          <w:color w:val="000000"/>
        </w:rPr>
        <w:t xml:space="preserve"> </w:t>
      </w:r>
      <w:r w:rsidR="00A704F8">
        <w:rPr>
          <w:rFonts w:ascii="Arial" w:eastAsia="Arial" w:hAnsi="Arial" w:cs="Arial"/>
          <w:color w:val="000000"/>
        </w:rPr>
        <w:t xml:space="preserve">- WORKSHEET </w:t>
      </w:r>
      <w:r w:rsidR="00A41D99">
        <w:rPr>
          <w:rFonts w:ascii="Arial" w:eastAsia="Arial" w:hAnsi="Arial" w:cs="Arial"/>
          <w:color w:val="000000"/>
        </w:rPr>
        <w:t xml:space="preserve">- </w:t>
      </w:r>
      <w:r w:rsidR="00A704F8">
        <w:rPr>
          <w:rFonts w:ascii="Arial" w:eastAsia="Arial" w:hAnsi="Arial" w:cs="Arial"/>
          <w:color w:val="000000"/>
        </w:rPr>
        <w:t>Communication and Responsibilities) for the study for purposes of review and approval of waivers of HIPAA authorization. Use HRP- 441</w:t>
      </w:r>
      <w:r w:rsidR="00A41D99">
        <w:rPr>
          <w:rFonts w:ascii="Arial" w:eastAsia="Arial" w:hAnsi="Arial" w:cs="Arial"/>
          <w:color w:val="000000"/>
        </w:rPr>
        <w:t xml:space="preserve"> </w:t>
      </w:r>
      <w:r w:rsidR="00A704F8">
        <w:rPr>
          <w:rFonts w:ascii="Arial" w:eastAsia="Arial" w:hAnsi="Arial" w:cs="Arial"/>
          <w:color w:val="000000"/>
        </w:rPr>
        <w:t>- CHECKLIST</w:t>
      </w:r>
      <w:r w:rsidR="00A41D99">
        <w:rPr>
          <w:rFonts w:ascii="Arial" w:eastAsia="Arial" w:hAnsi="Arial" w:cs="Arial"/>
          <w:color w:val="000000"/>
        </w:rPr>
        <w:t xml:space="preserve"> </w:t>
      </w:r>
      <w:r w:rsidR="00A704F8">
        <w:rPr>
          <w:rFonts w:ascii="Arial" w:eastAsia="Arial" w:hAnsi="Arial" w:cs="Arial"/>
          <w:color w:val="000000"/>
        </w:rPr>
        <w:t>- HIPAA Waiver of Authorization.</w:t>
      </w:r>
    </w:p>
    <w:p w14:paraId="6E095826" w14:textId="77777777" w:rsidR="00CC2D37" w:rsidRDefault="00A704F8">
      <w:pPr>
        <w:pBdr>
          <w:top w:val="single" w:sz="4" w:space="1" w:color="AEAAAA"/>
          <w:left w:val="single" w:sz="4" w:space="4" w:color="AEAAAA"/>
          <w:bottom w:val="single" w:sz="4" w:space="1" w:color="AEAAAA"/>
          <w:right w:val="single" w:sz="4" w:space="4" w:color="AEAAAA"/>
          <w:between w:val="nil"/>
        </w:pBdr>
        <w:shd w:val="clear" w:color="auto" w:fill="DFDFDF"/>
        <w:spacing w:line="240" w:lineRule="auto"/>
        <w:rPr>
          <w:rFonts w:ascii="Arial" w:eastAsia="Arial" w:hAnsi="Arial" w:cs="Arial"/>
          <w:b/>
          <w:color w:val="000000"/>
          <w:sz w:val="24"/>
          <w:szCs w:val="24"/>
        </w:rPr>
      </w:pPr>
      <w:r>
        <w:rPr>
          <w:rFonts w:ascii="Arial" w:eastAsia="Arial" w:hAnsi="Arial" w:cs="Arial"/>
          <w:b/>
          <w:color w:val="000000"/>
          <w:sz w:val="24"/>
          <w:szCs w:val="24"/>
        </w:rPr>
        <w:t>Ancillary Reviews</w:t>
      </w:r>
    </w:p>
    <w:p w14:paraId="77879B2B" w14:textId="77777777" w:rsidR="00CC2D37" w:rsidRDefault="00A704F8">
      <w:pPr>
        <w:pBdr>
          <w:top w:val="nil"/>
          <w:left w:val="nil"/>
          <w:bottom w:val="nil"/>
          <w:right w:val="nil"/>
          <w:between w:val="nil"/>
        </w:pBdr>
        <w:spacing w:after="120" w:line="324" w:lineRule="auto"/>
        <w:ind w:left="288" w:hanging="288"/>
        <w:rPr>
          <w:rFonts w:ascii="Arial" w:eastAsia="Arial" w:hAnsi="Arial" w:cs="Arial"/>
          <w:color w:val="000000"/>
        </w:rPr>
      </w:pPr>
      <w:r>
        <w:rPr>
          <w:rFonts w:ascii="Arial" w:eastAsia="Arial" w:hAnsi="Arial" w:cs="Arial"/>
          <w:color w:val="000000"/>
        </w:rPr>
        <w:t>Some ancillary reviews are required prior to accepting reliance on an external IRB.</w:t>
      </w:r>
    </w:p>
    <w:p w14:paraId="2858BA15" w14:textId="5933AE0F" w:rsidR="00CC2D37" w:rsidRDefault="00A704F8">
      <w:pPr>
        <w:pBdr>
          <w:top w:val="nil"/>
          <w:left w:val="nil"/>
          <w:bottom w:val="nil"/>
          <w:right w:val="nil"/>
          <w:between w:val="nil"/>
        </w:pBdr>
        <w:spacing w:after="120" w:line="324" w:lineRule="auto"/>
        <w:ind w:left="288" w:hanging="288"/>
        <w:rPr>
          <w:rFonts w:ascii="Arial" w:eastAsia="Arial" w:hAnsi="Arial" w:cs="Arial"/>
          <w:color w:val="000000"/>
        </w:rPr>
      </w:pPr>
      <w:r>
        <w:rPr>
          <w:rFonts w:ascii="Arial" w:eastAsia="Arial" w:hAnsi="Arial" w:cs="Arial"/>
          <w:color w:val="000000"/>
        </w:rPr>
        <w:t xml:space="preserve">See HRP-309 </w:t>
      </w:r>
      <w:r w:rsidR="00A41D99">
        <w:rPr>
          <w:rFonts w:ascii="Arial" w:eastAsia="Arial" w:hAnsi="Arial" w:cs="Arial"/>
          <w:color w:val="000000"/>
        </w:rPr>
        <w:t>-</w:t>
      </w:r>
      <w:r>
        <w:rPr>
          <w:rFonts w:ascii="Arial" w:eastAsia="Arial" w:hAnsi="Arial" w:cs="Arial"/>
          <w:color w:val="000000"/>
        </w:rPr>
        <w:t xml:space="preserve"> WORKSHEET </w:t>
      </w:r>
      <w:r w:rsidR="00A41D99">
        <w:rPr>
          <w:rFonts w:ascii="Arial" w:eastAsia="Arial" w:hAnsi="Arial" w:cs="Arial"/>
          <w:color w:val="000000"/>
        </w:rPr>
        <w:t xml:space="preserve">- </w:t>
      </w:r>
      <w:r>
        <w:rPr>
          <w:rFonts w:ascii="Arial" w:eastAsia="Arial" w:hAnsi="Arial" w:cs="Arial"/>
          <w:color w:val="000000"/>
        </w:rPr>
        <w:t>Ancillary Review Matrix for more information on institutional requirements.</w:t>
      </w:r>
    </w:p>
    <w:p w14:paraId="6EE77C09" w14:textId="031C3B66"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29"/>
          <w:id w:val="-546455590"/>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Office of Sponsored Program memo of acceptance for subject injury language</w:t>
      </w:r>
      <w:r w:rsidR="00CF0349">
        <w:rPr>
          <w:rFonts w:ascii="Arial" w:eastAsia="Arial" w:hAnsi="Arial" w:cs="Arial"/>
          <w:color w:val="000000"/>
        </w:rPr>
        <w:t>.</w:t>
      </w:r>
    </w:p>
    <w:p w14:paraId="418E5F41" w14:textId="60B6F383"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30"/>
          <w:id w:val="-2080500854"/>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Clinicaltrials.gov checked in </w:t>
      </w:r>
      <w:proofErr w:type="spellStart"/>
      <w:r w:rsidR="00A704F8">
        <w:rPr>
          <w:rFonts w:ascii="Arial" w:eastAsia="Arial" w:hAnsi="Arial" w:cs="Arial"/>
          <w:color w:val="000000"/>
        </w:rPr>
        <w:t>SmartForm</w:t>
      </w:r>
      <w:proofErr w:type="spellEnd"/>
      <w:r w:rsidR="00A704F8">
        <w:rPr>
          <w:rFonts w:ascii="Arial" w:eastAsia="Arial" w:hAnsi="Arial" w:cs="Arial"/>
          <w:color w:val="000000"/>
        </w:rPr>
        <w:t xml:space="preserve"> or Investigator referred to support office when unclear if applies</w:t>
      </w:r>
      <w:r w:rsidR="00CF0349">
        <w:rPr>
          <w:rFonts w:ascii="Arial" w:eastAsia="Arial" w:hAnsi="Arial" w:cs="Arial"/>
          <w:color w:val="000000"/>
        </w:rPr>
        <w:t>.</w:t>
      </w:r>
    </w:p>
    <w:p w14:paraId="0DE90F5E" w14:textId="6D2004CE"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31"/>
          <w:id w:val="-428891179"/>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Information Security Office Data Management Plan for use of Category 1 Data</w:t>
      </w:r>
      <w:r w:rsidR="00CF0349">
        <w:rPr>
          <w:rFonts w:ascii="Arial" w:eastAsia="Arial" w:hAnsi="Arial" w:cs="Arial"/>
          <w:color w:val="000000"/>
        </w:rPr>
        <w:t>.</w:t>
      </w:r>
    </w:p>
    <w:p w14:paraId="40FF38F4" w14:textId="77CDFA84"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32"/>
          <w:id w:val="2036379278"/>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Institutional Biosafety Committee approval</w:t>
      </w:r>
      <w:r w:rsidR="00CF0349">
        <w:rPr>
          <w:rFonts w:ascii="Arial" w:eastAsia="Arial" w:hAnsi="Arial" w:cs="Arial"/>
          <w:color w:val="000000"/>
        </w:rPr>
        <w:t>.</w:t>
      </w:r>
    </w:p>
    <w:p w14:paraId="1A38BE23" w14:textId="5AA9D7C3"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33"/>
          <w:id w:val="-538051122"/>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Investigational Drug Pharmacy</w:t>
      </w:r>
      <w:r w:rsidR="00CF0349">
        <w:rPr>
          <w:rFonts w:ascii="Arial" w:eastAsia="Arial" w:hAnsi="Arial" w:cs="Arial"/>
          <w:color w:val="000000"/>
        </w:rPr>
        <w:t>.</w:t>
      </w:r>
    </w:p>
    <w:p w14:paraId="0DE301DC" w14:textId="42CF0A1B"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34"/>
          <w:id w:val="1202359053"/>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Radiation Safety Committee letter</w:t>
      </w:r>
      <w:r w:rsidR="00CF0349">
        <w:rPr>
          <w:rFonts w:ascii="Arial" w:eastAsia="Arial" w:hAnsi="Arial" w:cs="Arial"/>
          <w:color w:val="000000"/>
        </w:rPr>
        <w:t>.</w:t>
      </w:r>
    </w:p>
    <w:p w14:paraId="58CB10CA" w14:textId="5407C0B0" w:rsidR="00CC2D37" w:rsidRDefault="002C26DB">
      <w:pPr>
        <w:pBdr>
          <w:top w:val="nil"/>
          <w:left w:val="nil"/>
          <w:bottom w:val="nil"/>
          <w:right w:val="nil"/>
          <w:between w:val="nil"/>
        </w:pBdr>
        <w:tabs>
          <w:tab w:val="right" w:pos="10800"/>
        </w:tabs>
        <w:spacing w:after="120" w:line="324" w:lineRule="auto"/>
        <w:ind w:left="288" w:hanging="288"/>
        <w:rPr>
          <w:rFonts w:ascii="Arial" w:eastAsia="Arial" w:hAnsi="Arial" w:cs="Arial"/>
          <w:color w:val="000000"/>
        </w:rPr>
      </w:pPr>
      <w:sdt>
        <w:sdtPr>
          <w:tag w:val="goog_rdk_35"/>
          <w:id w:val="-795759467"/>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Protocol Review and Monitoring Committee (PRMC) approval</w:t>
      </w:r>
      <w:r w:rsidR="00CF0349">
        <w:rPr>
          <w:rFonts w:ascii="Arial" w:eastAsia="Arial" w:hAnsi="Arial" w:cs="Arial"/>
          <w:color w:val="000000"/>
        </w:rPr>
        <w:t>.</w:t>
      </w:r>
      <w:r w:rsidR="00A704F8">
        <w:rPr>
          <w:rFonts w:ascii="Arial" w:eastAsia="Arial" w:hAnsi="Arial" w:cs="Arial"/>
          <w:color w:val="000000"/>
        </w:rPr>
        <w:tab/>
      </w:r>
    </w:p>
    <w:p w14:paraId="014FF43F" w14:textId="6BA0A1EE" w:rsidR="00CC2D37" w:rsidRDefault="002C26DB">
      <w:pPr>
        <w:pBdr>
          <w:top w:val="nil"/>
          <w:left w:val="nil"/>
          <w:bottom w:val="nil"/>
          <w:right w:val="nil"/>
          <w:between w:val="nil"/>
        </w:pBdr>
        <w:spacing w:after="120" w:line="324" w:lineRule="auto"/>
        <w:ind w:left="288" w:hanging="288"/>
        <w:rPr>
          <w:rFonts w:ascii="Arial" w:eastAsia="Arial" w:hAnsi="Arial" w:cs="Arial"/>
          <w:color w:val="000000"/>
        </w:rPr>
      </w:pPr>
      <w:sdt>
        <w:sdtPr>
          <w:tag w:val="goog_rdk_37"/>
          <w:id w:val="988597725"/>
        </w:sdtPr>
        <w:sdtEndPr/>
        <w:sdtContent>
          <w:r w:rsidR="00A704F8">
            <w:rPr>
              <w:rFonts w:ascii="Arial Unicode MS" w:eastAsia="Arial Unicode MS" w:hAnsi="Arial Unicode MS" w:cs="Arial Unicode MS"/>
              <w:color w:val="000000"/>
            </w:rPr>
            <w:t>☐</w:t>
          </w:r>
        </w:sdtContent>
      </w:sdt>
      <w:r w:rsidR="00A704F8">
        <w:rPr>
          <w:rFonts w:ascii="Arial" w:eastAsia="Arial" w:hAnsi="Arial" w:cs="Arial"/>
          <w:color w:val="000000"/>
        </w:rPr>
        <w:t xml:space="preserve"> Protocol Review </w:t>
      </w:r>
      <w:sdt>
        <w:sdtPr>
          <w:tag w:val="goog_rdk_36"/>
          <w:id w:val="-61487734"/>
        </w:sdtPr>
        <w:sdtEndPr/>
        <w:sdtContent>
          <w:r w:rsidR="00A704F8">
            <w:rPr>
              <w:rFonts w:ascii="Arial" w:eastAsia="Arial" w:hAnsi="Arial" w:cs="Arial"/>
              <w:color w:val="000000"/>
            </w:rPr>
            <w:t xml:space="preserve">Oversight </w:t>
          </w:r>
        </w:sdtContent>
      </w:sdt>
      <w:r w:rsidR="00A704F8">
        <w:rPr>
          <w:rFonts w:ascii="Arial" w:eastAsia="Arial" w:hAnsi="Arial" w:cs="Arial"/>
          <w:color w:val="000000"/>
        </w:rPr>
        <w:t>Committee (PROC) approval</w:t>
      </w:r>
      <w:r w:rsidR="00CF0349">
        <w:rPr>
          <w:rFonts w:ascii="Arial" w:eastAsia="Arial" w:hAnsi="Arial" w:cs="Arial"/>
          <w:color w:val="000000"/>
        </w:rPr>
        <w:t>.</w:t>
      </w:r>
    </w:p>
    <w:p w14:paraId="7359C6B6" w14:textId="77777777" w:rsidR="00CC2D37" w:rsidRDefault="00A704F8">
      <w:pPr>
        <w:pBdr>
          <w:top w:val="single" w:sz="4" w:space="1" w:color="AEAAAA"/>
          <w:left w:val="single" w:sz="4" w:space="4" w:color="AEAAAA"/>
          <w:bottom w:val="single" w:sz="4" w:space="1" w:color="AEAAAA"/>
          <w:right w:val="single" w:sz="4" w:space="4" w:color="AEAAAA"/>
        </w:pBdr>
        <w:shd w:val="clear" w:color="auto" w:fill="DFDFDF"/>
        <w:spacing w:line="240" w:lineRule="auto"/>
        <w:rPr>
          <w:rFonts w:ascii="Arial" w:eastAsia="Arial" w:hAnsi="Arial" w:cs="Arial"/>
          <w:color w:val="000000"/>
        </w:rPr>
      </w:pPr>
      <w:r>
        <w:rPr>
          <w:rFonts w:ascii="Arial" w:eastAsia="Arial" w:hAnsi="Arial" w:cs="Arial"/>
          <w:color w:val="000000"/>
        </w:rPr>
        <w:t>Other Institutional Responsibilities</w:t>
      </w:r>
    </w:p>
    <w:p w14:paraId="049578D7" w14:textId="143CDFE0" w:rsidR="00CC2D37" w:rsidRDefault="00A704F8" w:rsidP="006C3967">
      <w:pPr>
        <w:spacing w:before="20" w:after="20" w:line="240" w:lineRule="auto"/>
        <w:rPr>
          <w:rFonts w:ascii="Arial" w:eastAsia="Arial" w:hAnsi="Arial" w:cs="Arial"/>
        </w:rPr>
      </w:pPr>
      <w:r>
        <w:rPr>
          <w:rFonts w:ascii="Arial" w:eastAsia="Arial" w:hAnsi="Arial" w:cs="Arial"/>
          <w:color w:val="000000"/>
        </w:rPr>
        <w:t xml:space="preserve">☐ Use HRP-064 </w:t>
      </w:r>
      <w:r w:rsidR="0070416D">
        <w:rPr>
          <w:rFonts w:ascii="Arial" w:eastAsia="Arial" w:hAnsi="Arial" w:cs="Arial"/>
          <w:color w:val="000000"/>
        </w:rPr>
        <w:t>-</w:t>
      </w:r>
      <w:r>
        <w:rPr>
          <w:rFonts w:ascii="Arial" w:eastAsia="Arial" w:hAnsi="Arial" w:cs="Arial"/>
          <w:color w:val="000000"/>
        </w:rPr>
        <w:t xml:space="preserve"> SOP</w:t>
      </w:r>
      <w:r w:rsidR="0070416D">
        <w:rPr>
          <w:rFonts w:ascii="Arial" w:eastAsia="Arial" w:hAnsi="Arial" w:cs="Arial"/>
          <w:color w:val="000000"/>
        </w:rPr>
        <w:t xml:space="preserve"> </w:t>
      </w:r>
      <w:r>
        <w:rPr>
          <w:rFonts w:ascii="Arial" w:eastAsia="Arial" w:hAnsi="Arial" w:cs="Arial"/>
          <w:color w:val="000000"/>
        </w:rPr>
        <w:t>- NIH Genomic Data Sharing Institutional Certification and HRP-332</w:t>
      </w:r>
      <w:r w:rsidR="00A41D99">
        <w:rPr>
          <w:rFonts w:ascii="Arial" w:eastAsia="Arial" w:hAnsi="Arial" w:cs="Arial"/>
          <w:color w:val="000000"/>
        </w:rPr>
        <w:t xml:space="preserve"> -</w:t>
      </w:r>
      <w:r>
        <w:rPr>
          <w:rFonts w:ascii="Arial" w:eastAsia="Arial" w:hAnsi="Arial" w:cs="Arial"/>
          <w:color w:val="000000"/>
        </w:rPr>
        <w:t xml:space="preserve"> WORKSHEET </w:t>
      </w:r>
      <w:r w:rsidR="0070416D">
        <w:rPr>
          <w:rFonts w:ascii="Arial" w:eastAsia="Arial" w:hAnsi="Arial" w:cs="Arial"/>
          <w:color w:val="000000"/>
        </w:rPr>
        <w:t xml:space="preserve">- </w:t>
      </w:r>
      <w:r w:rsidR="00CF0349">
        <w:rPr>
          <w:rFonts w:ascii="Arial" w:eastAsia="Arial" w:hAnsi="Arial" w:cs="Arial"/>
          <w:color w:val="000000"/>
        </w:rPr>
        <w:t xml:space="preserve">NIH GDS Institutional Certification </w:t>
      </w:r>
      <w:r>
        <w:rPr>
          <w:rFonts w:ascii="Arial" w:eastAsia="Arial" w:hAnsi="Arial" w:cs="Arial"/>
          <w:color w:val="000000"/>
        </w:rPr>
        <w:t>when applicable and this institution is responsible for certification.</w:t>
      </w:r>
    </w:p>
    <w:sectPr w:rsidR="00CC2D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01A60F" w16cex:dateUtc="2025-07-11T2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57EC9" w14:textId="77777777" w:rsidR="002C26DB" w:rsidRDefault="002C26DB">
      <w:pPr>
        <w:spacing w:after="0" w:line="240" w:lineRule="auto"/>
      </w:pPr>
      <w:r>
        <w:separator/>
      </w:r>
    </w:p>
  </w:endnote>
  <w:endnote w:type="continuationSeparator" w:id="0">
    <w:p w14:paraId="7F9B44AC" w14:textId="77777777" w:rsidR="002C26DB" w:rsidRDefault="002C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C243" w14:textId="77777777" w:rsidR="00CC2D37" w:rsidRDefault="00CC2D3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F143" w14:textId="77777777" w:rsidR="00CC2D37" w:rsidRDefault="00A704F8">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0E564E">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0E564E">
      <w:rPr>
        <w:b/>
        <w:noProof/>
        <w:color w:val="000000"/>
      </w:rPr>
      <w:t>2</w:t>
    </w:r>
    <w:r>
      <w:rPr>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0FB6" w14:textId="77777777" w:rsidR="00CC2D37" w:rsidRDefault="00A704F8">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0E564E">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0E564E">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4EB3" w14:textId="77777777" w:rsidR="002C26DB" w:rsidRDefault="002C26DB">
      <w:pPr>
        <w:spacing w:after="0" w:line="240" w:lineRule="auto"/>
      </w:pPr>
      <w:r>
        <w:separator/>
      </w:r>
    </w:p>
  </w:footnote>
  <w:footnote w:type="continuationSeparator" w:id="0">
    <w:p w14:paraId="0832B770" w14:textId="77777777" w:rsidR="002C26DB" w:rsidRDefault="002C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8B5E" w14:textId="77777777" w:rsidR="00CC2D37" w:rsidRDefault="00CC2D3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B6A4" w14:textId="77777777" w:rsidR="00CC2D37" w:rsidRDefault="00CC2D37">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101D" w14:textId="77777777" w:rsidR="00CC2D37" w:rsidRDefault="00A704F8">
    <w:pPr>
      <w:tabs>
        <w:tab w:val="center" w:pos="4680"/>
        <w:tab w:val="right" w:pos="9360"/>
      </w:tabs>
      <w:spacing w:after="0" w:line="240" w:lineRule="auto"/>
      <w:jc w:val="center"/>
      <w:rPr>
        <w:color w:val="000000"/>
      </w:rPr>
    </w:pPr>
    <w:r>
      <w:rPr>
        <w:noProof/>
      </w:rPr>
      <w:drawing>
        <wp:inline distT="0" distB="0" distL="0" distR="0" wp14:anchorId="57214CC0" wp14:editId="28EB5C0B">
          <wp:extent cx="1367185" cy="402263"/>
          <wp:effectExtent l="0" t="0" r="4445" b="0"/>
          <wp:docPr id="17" name="image1.png"/>
          <wp:cNvGraphicFramePr/>
          <a:graphic xmlns:a="http://schemas.openxmlformats.org/drawingml/2006/main">
            <a:graphicData uri="http://schemas.openxmlformats.org/drawingml/2006/picture">
              <pic:pic xmlns:pic="http://schemas.openxmlformats.org/drawingml/2006/picture">
                <pic:nvPicPr>
                  <pic:cNvPr id="17"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367185" cy="402263"/>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BD4823B" wp14:editId="0294EAFA">
              <wp:simplePos x="0" y="0"/>
              <wp:positionH relativeFrom="column">
                <wp:posOffset>114300</wp:posOffset>
              </wp:positionH>
              <wp:positionV relativeFrom="paragraph">
                <wp:posOffset>419100</wp:posOffset>
              </wp:positionV>
              <wp:extent cx="676275" cy="486521"/>
              <wp:effectExtent l="0" t="0" r="0" b="0"/>
              <wp:wrapNone/>
              <wp:docPr id="14" name="Rectangle 14"/>
              <wp:cNvGraphicFramePr/>
              <a:graphic xmlns:a="http://schemas.openxmlformats.org/drawingml/2006/main">
                <a:graphicData uri="http://schemas.microsoft.com/office/word/2010/wordprocessingShape">
                  <wps:wsp>
                    <wps:cNvSpPr/>
                    <wps:spPr>
                      <a:xfrm>
                        <a:off x="5117027" y="3456150"/>
                        <a:ext cx="457946" cy="647700"/>
                      </a:xfrm>
                      <a:prstGeom prst="rect">
                        <a:avLst/>
                      </a:prstGeom>
                      <a:noFill/>
                      <a:ln>
                        <a:noFill/>
                      </a:ln>
                    </wps:spPr>
                    <wps:txbx>
                      <w:txbxContent>
                        <w:p w14:paraId="26072E9F" w14:textId="77777777" w:rsidR="00CC2D37" w:rsidRDefault="00CC2D3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BD4823B" id="Rectangle 14" o:spid="_x0000_s1026" style="position:absolute;left:0;text-align:left;margin-left:9pt;margin-top:33pt;width:53.25pt;height:3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" filled="f" stroked="f">
              <v:textbox inset="2.53958mm,2.53958mm,2.53958mm,2.53958mm">
                <w:txbxContent>
                  <w:p w14:paraId="26072E9F" w14:textId="77777777" w:rsidR="00CC2D37" w:rsidRDefault="00CC2D37">
                    <w:pPr>
                      <w:spacing w:after="0" w:line="240" w:lineRule="auto"/>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37"/>
    <w:rsid w:val="000E564E"/>
    <w:rsid w:val="000F3E7E"/>
    <w:rsid w:val="0019534B"/>
    <w:rsid w:val="002C1C3A"/>
    <w:rsid w:val="002C26DB"/>
    <w:rsid w:val="002D5C28"/>
    <w:rsid w:val="005D1211"/>
    <w:rsid w:val="006C3967"/>
    <w:rsid w:val="006D4513"/>
    <w:rsid w:val="0070416D"/>
    <w:rsid w:val="007366F9"/>
    <w:rsid w:val="007908FE"/>
    <w:rsid w:val="00791D1D"/>
    <w:rsid w:val="008477FE"/>
    <w:rsid w:val="008C411B"/>
    <w:rsid w:val="00A41D99"/>
    <w:rsid w:val="00A704F8"/>
    <w:rsid w:val="00AB6F51"/>
    <w:rsid w:val="00B01CD1"/>
    <w:rsid w:val="00BD695A"/>
    <w:rsid w:val="00CC2D37"/>
    <w:rsid w:val="00CF0349"/>
    <w:rsid w:val="00D3085D"/>
    <w:rsid w:val="00DD7C2B"/>
    <w:rsid w:val="00E36F0B"/>
    <w:rsid w:val="00E40954"/>
    <w:rsid w:val="00E731AF"/>
    <w:rsid w:val="00E746DA"/>
    <w:rsid w:val="00F9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FD7C"/>
  <w15:docId w15:val="{22FD41D0-226C-403D-A0A6-6E7C77B4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7A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92D0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54888"/>
    <w:pPr>
      <w:spacing w:after="0" w:line="240" w:lineRule="auto"/>
    </w:pPr>
  </w:style>
  <w:style w:type="paragraph" w:styleId="BalloonText">
    <w:name w:val="Balloon Text"/>
    <w:basedOn w:val="Normal"/>
    <w:link w:val="BalloonTextChar"/>
    <w:uiPriority w:val="99"/>
    <w:semiHidden/>
    <w:unhideWhenUsed/>
    <w:rsid w:val="002D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da.gov/inspections-compliance-enforcement-and-criminal-investigations/compliance-actions-and-activities/fda-debarment-list-drug-product-applications"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9h7MgymFzqUMjHe1urpQv503g==">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Isley</dc:creator>
  <cp:lastModifiedBy>Susan Kimbrough</cp:lastModifiedBy>
  <cp:revision>15</cp:revision>
  <dcterms:created xsi:type="dcterms:W3CDTF">2025-05-30T19:40:00Z</dcterms:created>
  <dcterms:modified xsi:type="dcterms:W3CDTF">2025-08-07T18:25:00Z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0x010100C6AFC80723FFB74691645FEB38E21F6C</vt:lpwstr>
  </property>
  <property fmtid="{D5CDD505-2E9C-101B-9397-08002B2CF9AE}" pid="3" name="Order">
    <vt:lpwstr>2751300</vt:lpwstr>
  </property>
  <property fmtid="{D5CDD505-2E9C-101B-9397-08002B2CF9AE}" pid="4" name="xd_Signature">
    <vt:lpwstr>false</vt:lpwstr>
  </property>
  <property fmtid="{D5CDD505-2E9C-101B-9397-08002B2CF9AE}" pid="5" name="xd_ProgID">
    <vt:lpwstr>xd_ProgID</vt:lpwstr>
  </property>
  <property fmtid="{D5CDD505-2E9C-101B-9397-08002B2CF9AE}" pid="6" name="_ExtendedDescription">
    <vt:lpwstr>_ExtendedDescription</vt:lpwstr>
  </property>
  <property fmtid="{D5CDD505-2E9C-101B-9397-08002B2CF9AE}" pid="7" name="TriggerFlowInfo">
    <vt:lpwstr>TriggerFlowInfo</vt:lpwstr>
  </property>
  <property fmtid="{D5CDD505-2E9C-101B-9397-08002B2CF9AE}" pid="8" name="TemplateUrl">
    <vt:lpwstr>TemplateUrl</vt:lpwstr>
  </property>
  <property fmtid="{D5CDD505-2E9C-101B-9397-08002B2CF9AE}" pid="9" name="ComplianceAssetId">
    <vt:lpwstr>ComplianceAssetId</vt:lpwstr>
  </property>
</Properties>
</file>